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43.png" ContentType="image/png"/>
  <Override PartName="/word/media/rId37.png" ContentType="image/png"/>
  <Override PartName="/word/media/rId41.png" ContentType="image/png"/>
  <Override PartName="/word/media/rId36.png" ContentType="image/png"/>
  <Override PartName="/word/media/rId31.png" ContentType="image/png"/>
  <Override PartName="/word/media/rId29.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climate, tree size, and slowly changing environmental drivers on annual growth</w:t>
      </w:r>
    </w:p>
    <w:p>
      <w:pPr>
        <w:pStyle w:val="BodyText"/>
      </w:pPr>
      <w:r>
        <w:rPr>
          <w:b/>
        </w:rPr>
        <w:t xml:space="preserve">Authors:</w:t>
      </w:r>
    </w:p>
    <w:p>
      <w:pPr>
        <w:pStyle w:val="BodyText"/>
      </w:pPr>
      <w:hyperlink r:id="rId20">
        <w:r>
          <w:rPr>
            <w:rStyle w:val="Hyperlink"/>
          </w:rPr>
          <w:t xml:space="preserve">Kristina J. Anderson-Teixeira</w:t>
        </w:r>
        <w:r>
          <w:rPr>
            <w:vertAlign w:val="superscript"/>
            <w:rStyle w:val="Hyperlink"/>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Camille Piponiot</w:t>
      </w:r>
      <w:r>
        <w:rPr>
          <w:vertAlign w:val="superscript"/>
        </w:rPr>
        <w:t xml:space="preserve">1,2</w:t>
      </w:r>
      <w:r>
        <w:t xml:space="preserve">,</w:t>
      </w:r>
      <w:r>
        <w:t xml:space="preserve"> </w:t>
      </w:r>
      <w:r>
        <w:t xml:space="preserve">Ross Alexander,</w:t>
      </w:r>
      <w:r>
        <w:t xml:space="preserve"> </w:t>
      </w:r>
      <w:r>
        <w:t xml:space="preserve">Craig D. Allen,</w:t>
      </w:r>
      <w:r>
        <w:t xml:space="preserve"> </w:t>
      </w:r>
      <w:r>
        <w:t xml:space="preserve">Raquel Alfaro-Sánchez</w:t>
      </w:r>
      <w:r>
        <w:rPr>
          <w:vertAlign w:val="superscript"/>
        </w:rPr>
        <w:t xml:space="preserve">wl</w:t>
      </w:r>
      <w:r>
        <w:t xml:space="preserve">,</w:t>
      </w:r>
      <w:r>
        <w:t xml:space="preserve"> </w:t>
      </w:r>
      <w:r>
        <w:t xml:space="preserve">Tala Awada,</w:t>
      </w:r>
      <w:r>
        <w:t xml:space="preserve"> </w:t>
      </w:r>
      <w:r>
        <w:t xml:space="preserve">Jennifer L. Baltzer</w:t>
      </w:r>
      <w:r>
        <w:rPr>
          <w:vertAlign w:val="superscript"/>
        </w:rPr>
        <w:t xml:space="preserve">wl</w:t>
      </w:r>
      <w:r>
        <w:t xml:space="preserve">,</w:t>
      </w:r>
      <w:r>
        <w:t xml:space="preserve"> </w:t>
      </w:r>
      <w:r>
        <w:t xml:space="preserve">Patrick J. Baker,</w:t>
      </w:r>
      <w:r>
        <w:t xml:space="preserve"> </w:t>
      </w:r>
      <w:r>
        <w:t xml:space="preserve">Sarayudh Bunyavejchewin,</w:t>
      </w:r>
      <w:r>
        <w:t xml:space="preserve"> </w:t>
      </w:r>
      <w:r>
        <w:t xml:space="preserve">Paolo Cherubini,</w:t>
      </w:r>
      <w:r>
        <w:t xml:space="preserve"> </w:t>
      </w:r>
      <w:r>
        <w:t xml:space="preserve">Justin Cooper,</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r>
          <w:rPr>
            <w:vertAlign w:val="superscript"/>
            <w:rStyle w:val="Hyperlink"/>
          </w:rPr>
          <w:t xml:space="preserve">cz</w:t>
        </w:r>
      </w:hyperlink>
      <w:r>
        <w:t xml:space="preserve">,</w:t>
      </w:r>
      <w:r>
        <w:t xml:space="preserve"> </w:t>
      </w:r>
      <w:r>
        <w:t xml:space="preserve">James Lutz,</w:t>
      </w:r>
      <w:r>
        <w:t xml:space="preserve"> </w:t>
      </w:r>
      <w:r>
        <w:t xml:space="preserve">Ellis Q. Margolis,</w:t>
      </w:r>
      <w:r>
        <w:t xml:space="preserve"> </w:t>
      </w:r>
      <w:r>
        <w:t xml:space="preserve">Justin Maxwell</w:t>
      </w:r>
      <w:r>
        <w:rPr>
          <w:vertAlign w:val="superscript"/>
        </w:rPr>
        <w:t xml:space="preserve">jm</w:t>
      </w:r>
      <w:r>
        <w:t xml:space="preserve">,</w:t>
      </w:r>
      <w:r>
        <w:t xml:space="preserve"> </w:t>
      </w:r>
      <w:r>
        <w:t xml:space="preserve">Sean McMahon</w:t>
      </w:r>
      <w:r>
        <w:rPr>
          <w:vertAlign w:val="superscript"/>
        </w:rPr>
        <w:t xml:space="preserve">2</w:t>
      </w:r>
      <w:r>
        <w:t xml:space="preserve">,</w:t>
      </w:r>
      <w:r>
        <w:t xml:space="preserve"> </w:t>
      </w:r>
      <w:r>
        <w:t xml:space="preserve">Sabrina Russo,</w:t>
      </w:r>
      <w:r>
        <w:t xml:space="preserve"> </w:t>
      </w:r>
      <w:hyperlink r:id="rId22">
        <w:r>
          <w:rPr>
            <w:rStyle w:val="Hyperlink"/>
          </w:rPr>
          <w:t xml:space="preserve">Pavel Šamonil</w:t>
        </w:r>
        <w:r>
          <w:rPr>
            <w:vertAlign w:val="superscript"/>
            <w:rStyle w:val="Hyperlink"/>
          </w:rPr>
          <w:t xml:space="preserve">cz</w:t>
        </w:r>
      </w:hyperlink>
      <w:r>
        <w:t xml:space="preserve">,</w:t>
      </w:r>
      <w:r>
        <w:t xml:space="preserve"> </w:t>
      </w:r>
      <w:r>
        <w:t xml:space="preserve">Anastasia Sniderhan</w:t>
      </w:r>
      <w:r>
        <w:rPr>
          <w:vertAlign w:val="superscript"/>
        </w:rPr>
        <w:t xml:space="preserve">wl</w:t>
      </w:r>
      <w:r>
        <w:t xml:space="preserve">,</w:t>
      </w:r>
      <w:r>
        <w:t xml:space="preserve"> </w:t>
      </w:r>
      <w:r>
        <w:t xml:space="preserve">Alan J. Tepley</w:t>
      </w:r>
      <w:r>
        <w:rPr>
          <w:vertAlign w:val="superscript"/>
        </w:rPr>
        <w:t xml:space="preserve">1,at</w:t>
      </w:r>
      <w:r>
        <w:t xml:space="preserve">,</w:t>
      </w:r>
      <w:r>
        <w:t xml:space="preserve"> </w:t>
      </w:r>
      <w:hyperlink r:id="rId23">
        <w:r>
          <w:rPr>
            <w:rStyle w:val="Hyperlink"/>
          </w:rPr>
          <w:t xml:space="preserve">Ivana Vašíčková</w:t>
        </w:r>
        <w:r>
          <w:rPr>
            <w:vertAlign w:val="superscript"/>
            <w:rStyle w:val="Hyperlink"/>
          </w:rPr>
          <w:t xml:space="preserve">cz</w:t>
        </w:r>
      </w:hyperlink>
      <w:r>
        <w:t xml:space="preserve">,</w:t>
      </w:r>
      <w:r>
        <w:t xml:space="preserve"> </w:t>
      </w:r>
      <w:r>
        <w:t xml:space="preserve">Mart Vlam,</w:t>
      </w:r>
      <w:r>
        <w:t xml:space="preserve"> </w:t>
      </w:r>
      <w:r>
        <w:t xml:space="preserve">Peter Zuidema</w:t>
      </w:r>
    </w:p>
    <w:p>
      <w:pPr>
        <w:pStyle w:val="BodyText"/>
      </w:pPr>
      <w:r>
        <w:rPr>
          <w:b/>
        </w:rPr>
        <w:t xml:space="preserve">Author Affiliations:</w:t>
      </w:r>
    </w:p>
    <w:p>
      <w:pPr>
        <w:numPr>
          <w:numId w:val="1001"/>
          <w:ilvl w:val="0"/>
        </w:numPr>
      </w:pPr>
      <w:r>
        <w:t xml:space="preserve">Conservation Ecology Center; Smithsonian Conservation Biology Institute; Front Royal, VA 22630, USA</w:t>
      </w:r>
    </w:p>
    <w:p>
      <w:pPr>
        <w:numPr>
          <w:numId w:val="1001"/>
          <w:ilvl w:val="0"/>
        </w:numPr>
      </w:pPr>
      <w:r>
        <w:t xml:space="preserve">Center for Tropical Forest Science-Forest Global Earth Observatory; Smithsonian Tropical Research Institute; Panama, Republic of Panama</w:t>
      </w:r>
    </w:p>
    <w:p>
      <w:pPr>
        <w:numPr>
          <w:numId w:val="1001"/>
          <w:ilvl w:val="0"/>
        </w:numPr>
      </w:pPr>
      <w:r>
        <w:t xml:space="preserve">The Morton Arboretum, Lisle, Illinois, USA</w:t>
      </w:r>
    </w:p>
    <w:p>
      <w:pPr>
        <w:numPr>
          <w:numId w:val="1001"/>
          <w:ilvl w:val="0"/>
        </w:numPr>
      </w:pPr>
      <w:r>
        <w:t xml:space="preserve">Harvard Forest, Petersham, MA 01366, USA</w:t>
      </w:r>
    </w:p>
    <w:p>
      <w:pPr>
        <w:pStyle w:val="FirstParagraph"/>
      </w:pPr>
      <w:r>
        <w:t xml:space="preserve">wl. Biology Department, Wilfrid Laurier University, 75 University Ave W, Waterloo, ON, N2L 3C5</w:t>
      </w:r>
    </w:p>
    <w:p>
      <w:pPr>
        <w:pStyle w:val="BodyText"/>
      </w:pPr>
      <w:r>
        <w:t xml:space="preserve">at. Canadian Forest Service, Northern Forestry Centre, Edmonton, Alberta, Canada</w:t>
      </w:r>
    </w:p>
    <w:p>
      <w:pPr>
        <w:pStyle w:val="BodyText"/>
      </w:pPr>
      <w:r>
        <w:t xml:space="preserve">cz. Department of Forest Ecology, The Silva Tarouca Research Institute for Landscape and Ornamental Gardening, Lidická 25/27, 602 00 Brno, Czech Republic</w:t>
      </w:r>
    </w:p>
    <w:p>
      <w:pPr>
        <w:pStyle w:val="BodyText"/>
      </w:pPr>
      <w:r>
        <w:t xml:space="preserve">jm. Department of Geography, Indiana University, Bloomington, Indiana, USA</w:t>
      </w:r>
    </w:p>
    <w:p>
      <w:pPr>
        <w:pStyle w:val="BodyText"/>
      </w:pPr>
      <w:r>
        <w:t xml:space="preserve">*corresponding author:</w:t>
      </w:r>
      <w:r>
        <w:t xml:space="preserve"> </w:t>
      </w:r>
      <w:hyperlink r:id="rId24">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p>
      <w:pPr>
        <w:pStyle w:val="Heading1"/>
      </w:pPr>
      <w:bookmarkStart w:id="25" w:name="Abstract"/>
      <w:r>
        <w:t xml:space="preserve">Abstract</w:t>
      </w:r>
      <w:bookmarkEnd w:id="25"/>
    </w:p>
    <w:p>
      <w:pPr>
        <w:pStyle w:val="FirstParagraph"/>
      </w:pPr>
      <w:r>
        <w:t xml:space="preserve">Tree rings provide a valuable long-term record for understanding how climate and other environmental drivers shape forest productivity.</w:t>
      </w:r>
      <w:r>
        <w:t xml:space="preserve"> </w:t>
      </w:r>
      <w:r>
        <w:t xml:space="preserve">However, traditional dendrochronology methods aggregate growth records of multiple trees–often limited to dominant canopy individuals–into residual chronologies, and therefore cannot simultaneously account for the effects of climate, tree size, and slowly changing environmental drivers.</w:t>
      </w:r>
      <w:r>
        <w:t xml:space="preserve"> </w:t>
      </w:r>
      <w:r>
        <w:t xml:space="preserve">This has limited the potential to use tree-rings to understand forest productivity, its climate sensitivity, and its global change responses.</w:t>
      </w:r>
      <w:r>
        <w:t xml:space="preserve"> </w:t>
      </w:r>
      <w:r>
        <w:t xml:space="preserve">Here, we develop a new method to simultaneously model non-linear effects of principle climate drivers, reconstructed tree diameter (</w:t>
      </w:r>
      <m:oMath>
        <m:r>
          <m:t>D</m:t>
        </m:r>
        <m:r>
          <m:t>B</m:t>
        </m:r>
        <m:r>
          <m:t>H</m:t>
        </m:r>
      </m:oMath>
      <w:r>
        <w:t xml:space="preserve">), and year.</w:t>
      </w:r>
      <w:r>
        <w:t xml:space="preserve"> </w:t>
      </w:r>
      <w:r>
        <w:t xml:space="preserve">Specifically, after objectively identifying the most important climate drivers and their time window of influence, we use generalized least squares models to model additive or interactive effects climate,</w:t>
      </w:r>
      <w:r>
        <w:t xml:space="preserve"> </w:t>
      </w:r>
      <m:oMath>
        <m:r>
          <m:t>D</m:t>
        </m:r>
        <m:r>
          <m:t>B</m:t>
        </m:r>
        <m:r>
          <m:t>H</m:t>
        </m:r>
      </m:oMath>
      <w:r>
        <w:t xml:space="preserve">, and year on growth, while accounting for the temporal autocorrelation inherent to each individual tree’s growth.</w:t>
      </w:r>
      <w:r>
        <w:t xml:space="preserve"> </w:t>
      </w:r>
      <w:r>
        <w:t xml:space="preserve">We apply this method to tree-ring data from 3797 trees representing 40 species at ten globally distributed sites spanning a wide range of forest types.</w:t>
      </w:r>
      <w:r>
        <w:t xml:space="preserve"> </w:t>
      </w:r>
      <w:r>
        <w:t xml:space="preserve">Our analysis identified similar climate drivers operating over similar time windows to those obtained via traditional methods, but revealed that non-linear responses to climate variables were common.</w:t>
      </w:r>
      <w:r>
        <w:t xml:space="preserve"> </w:t>
      </w:r>
      <w:r>
        <w:t xml:space="preserve">Growth rates–expressed as ring widths, basal area increments, or biomass increments–varied non-linearly with</w:t>
      </w:r>
      <w:r>
        <w:t xml:space="preserve"> </w:t>
      </w:r>
      <m:oMath>
        <m:r>
          <m:t>D</m:t>
        </m:r>
        <m:r>
          <m:t>B</m:t>
        </m:r>
        <m:r>
          <m:t>H</m:t>
        </m:r>
      </m:oMath>
      <w:r>
        <w:t xml:space="preserve">.</w:t>
      </w:r>
      <w:r>
        <w:t xml:space="preserve"> </w:t>
      </w:r>
      <w:r>
        <w:t xml:space="preserve">The relative importance of</w:t>
      </w:r>
      <w:r>
        <w:t xml:space="preserve"> </w:t>
      </w:r>
      <m:oMath>
        <m:r>
          <m:t>D</m:t>
        </m:r>
        <m:r>
          <m:t>B</m:t>
        </m:r>
        <m:r>
          <m:t>H</m:t>
        </m:r>
      </m:oMath>
      <w:r>
        <w:t xml:space="preserve"> </w:t>
      </w:r>
      <w:r>
        <w:t xml:space="preserve">versus climate varied across sites, and interactions between</w:t>
      </w:r>
      <w:r>
        <w:t xml:space="preserve"> </w:t>
      </w:r>
      <m:oMath>
        <m:r>
          <m:t>D</m:t>
        </m:r>
        <m:r>
          <m:t>B</m:t>
        </m:r>
        <m:r>
          <m:t>H</m:t>
        </m:r>
      </m:oMath>
      <w:r>
        <w:t xml:space="preserve"> </w:t>
      </w:r>
      <w:r>
        <w:t xml:space="preserve">and climate were prevalent (</w:t>
      </w:r>
      <w:r>
        <w:rPr>
          <w:i/>
        </w:rPr>
        <w:t xml:space="preserve">~50%</w:t>
      </w:r>
      <w:r>
        <w:t xml:space="preserve"> </w:t>
      </w:r>
      <w:r>
        <w:t xml:space="preserve">of cases tested).</w:t>
      </w:r>
      <w:r>
        <w:t xml:space="preserve"> </w:t>
      </w:r>
      <w:r>
        <w:t xml:space="preserve">Accounting for</w:t>
      </w:r>
      <w:r>
        <w:t xml:space="preserve"> </w:t>
      </w:r>
      <m:oMath>
        <m:r>
          <m:t>D</m:t>
        </m:r>
        <m:r>
          <m:t>B</m:t>
        </m:r>
        <m:r>
          <m:t>H</m:t>
        </m:r>
      </m:oMath>
      <w:r>
        <w:t xml:space="preserve">, growth rate varied directionally over time in most species– declining in most (</w:t>
      </w:r>
      <w:r>
        <w:rPr>
          <w:i/>
        </w:rPr>
        <w:t xml:space="preserve">90%</w:t>
      </w:r>
      <w:r>
        <w:t xml:space="preserve">).</w:t>
      </w:r>
      <w:r>
        <w:t xml:space="preserve"> </w:t>
      </w:r>
      <w:r>
        <w:t xml:space="preserve">These trends were largely attributable to successional stand dynamics as cohorts and stands age, which remain challenging to parse from global change drivers.</w:t>
      </w:r>
      <w:r>
        <w:t xml:space="preserve"> </w:t>
      </w:r>
      <w:r>
        <w:t xml:space="preserve">As a rigorous analytical framework for statistically modeling tree growth responses to the most important climate drivers,</w:t>
      </w:r>
      <w:r>
        <w:t xml:space="preserve"> </w:t>
      </w:r>
      <m:oMath>
        <m:r>
          <m:t>D</m:t>
        </m:r>
        <m:r>
          <m:t>B</m:t>
        </m:r>
        <m:r>
          <m:t>H</m:t>
        </m:r>
      </m:oMath>
      <w:r>
        <w:t xml:space="preserve">, and year in nonlinear models, our method provides a more parsimonious approach for characterizing multiple interacting drivers of tree growth and opens the door for novel analyses using tree-rings to improve our understanding of forest responses to climate change.</w:t>
      </w:r>
    </w:p>
    <w:p>
      <w:pPr>
        <w:pStyle w:val="BodyText"/>
      </w:pPr>
      <w:r>
        <w:rPr>
          <w:b/>
        </w:rPr>
        <w:t xml:space="preserve">Keywords</w:t>
      </w:r>
      <w:r>
        <w:t xml:space="preserve">: climate sensitivity; diameter; environmental change; Forest Global Earth Observatory (ForestGEO); generalized least squares (GLS); nonlinear; tree-ring</w:t>
      </w:r>
    </w:p>
    <w:p>
      <w:r>
        <w:br w:type="page"/>
      </w:r>
    </w:p>
    <w:p>
      <w:pPr>
        <w:pStyle w:val="Heading1"/>
      </w:pPr>
      <w:bookmarkStart w:id="26" w:name="Introduction"/>
      <w:r>
        <w:t xml:space="preserve">Introduction</w:t>
      </w:r>
      <w:bookmarkEnd w:id="26"/>
    </w:p>
    <w:p>
      <w:pPr>
        <w:pStyle w:val="FirstParagraph"/>
      </w:pPr>
      <w:r>
        <w:rPr>
          <w:b/>
        </w:rPr>
        <w:t xml:space="preserve">Tree rings provide a long-term record of annual growth increments that is invaluable for understanding forests in an era of global change</w:t>
      </w:r>
      <w:r>
        <w:rPr>
          <w:b/>
        </w:rPr>
        <w:t xml:space="preserve"> </w:t>
      </w:r>
      <w:r>
        <w:rPr>
          <w:b/>
        </w:rPr>
        <w:t xml:space="preserve">(Amoroso et al., 2017; Fritts &amp; Swetnam, 1989)</w:t>
      </w:r>
      <w:r>
        <w:rPr>
          <w:b/>
        </w:rPr>
        <w:t xml:space="preserv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(Bräker, 2002; Fritts, 1976)</w:t>
      </w:r>
      <w:r>
        <w:t xml:space="preserve"> </w:t>
      </w:r>
      <w:r>
        <w:t xml:space="preserve">and how it is changing</w:t>
      </w:r>
      <w:r>
        <w:t xml:space="preserve"> </w:t>
      </w:r>
      <w:r>
        <w:t xml:space="preserve">(e.g., Sniderhan &amp; Baltzer, 2016; Maxwell et al., 2016)</w:t>
      </w:r>
      <w:r>
        <w:t xml:space="preserve">.</w:t>
      </w:r>
      <w:r>
        <w:t xml:space="preserve"> </w:t>
      </w:r>
      <w:r>
        <w:t xml:space="preserve">Combined with forest censuses, they can be used to estimate forest woody productivity</w:t>
      </w:r>
      <w:r>
        <w:t xml:space="preserve"> </w:t>
      </w:r>
      <w:r>
        <w:t xml:space="preserve">(</w:t>
      </w:r>
      <m:oMath>
        <m:r>
          <m:t>A</m:t>
        </m:r>
        <m:r>
          <m:t>N</m:t>
        </m:r>
        <m:r>
          <m:t>P</m:t>
        </m:r>
        <m:sSub>
          <m:e>
            <m:r>
              <m:t>P</m:t>
            </m:r>
          </m:e>
          <m:sub>
            <m:r>
              <m:t>w</m:t>
            </m:r>
            <m:r>
              <m:t>o</m:t>
            </m:r>
            <m:r>
              <m:t>o</m:t>
            </m:r>
            <m:r>
              <m:t>d</m:t>
            </m:r>
            <m:r>
              <m:t>y</m:t>
            </m:r>
          </m:sub>
        </m:sSub>
      </m:oMath>
      <w:r>
        <w:t xml:space="preserve">; Graumlich et al., 1989; Davis et al., 2009; Dye et al., 2016;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t xml:space="preserve">They also provide the long-term perspective critical to understanding how slowly changing environmental drivers including rising atmospheric carbon dioxide (CO</w:t>
      </w:r>
      <w:r>
        <w:rPr>
          <w:vertAlign w:val="subscript"/>
        </w:rPr>
        <w:t xml:space="preserve">2</w:t>
      </w:r>
      <w:r>
        <w:t xml:space="preserve">) and directional climate change are influencing tree growth and forest productivity</w:t>
      </w:r>
      <w:r>
        <w:t xml:space="preserve"> </w:t>
      </w:r>
      <w:r>
        <w:t xml:space="preserve">(e.g., Levesque et al., 2017; Babst et al., 2019; Mathias &amp; Thomas, 2018; Walker et al., 2020)</w:t>
      </w:r>
      <w:r>
        <w:t xml:space="preserve">.</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been traditionally been optimized to detect climate signals rather than to predict forest productivity, its climate sensitivity, and how it may be changing</w:t>
      </w:r>
      <w:r>
        <w:t xml:space="preserve"> </w:t>
      </w:r>
      <w:r>
        <w:t xml:space="preserve">(Cherubini et al., 1998; Klesse et al., 2018; Nehrbass-Ahles et al., 2014)</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rPr>
          <w:b/>
        </w:rP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rPr>
          <w:b/>
        </w:rPr>
        <w:t xml:space="preserve"> </w:t>
      </w:r>
      <m:oMath>
        <m:r>
          <m:t>A</m:t>
        </m:r>
        <m:r>
          <m:t>N</m:t>
        </m:r>
        <m:r>
          <m:t>P</m:t>
        </m:r>
        <m:sSub>
          <m:e>
            <m:r>
              <m:t>P</m:t>
            </m:r>
          </m:e>
          <m:sub>
            <m:r>
              <m:t>w</m:t>
            </m:r>
            <m:r>
              <m:t>o</m:t>
            </m:r>
            <m:r>
              <m:t>o</m:t>
            </m:r>
            <m:r>
              <m:t>d</m:t>
            </m:r>
            <m:r>
              <m:t>y</m:t>
            </m:r>
          </m:sub>
        </m:sSub>
      </m:oMath>
      <w:r>
        <w:rPr>
          <w:b/>
        </w:rPr>
        <w:t xml:space="preserve">.</w:t>
      </w:r>
      <w:r>
        <w:t xml:space="preserve"> </w:t>
      </w:r>
      <w:r>
        <w:t xml:space="preserve">Traditional methods begin by fitting a function (commonly a spline) to the growth record captured by each core, extracting residuals around the long-term trends, and then standardizing and averaging the residuals across cores to form a species-level ring-width index chronology</w:t>
      </w:r>
      <w:r>
        <w:t xml:space="preserve"> </w:t>
      </w:r>
      <w:r>
        <w:t xml:space="preserve">(Fritts,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year</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 (</w:t>
      </w:r>
      <w:r>
        <w:rPr>
          <w:i/>
        </w:rPr>
        <w:t xml:space="preserve">DENDRO_REFS</w:t>
      </w:r>
      <w:r>
        <w:t xml:space="preserve">) 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fundamentally alters and obfuscates individual-level responses (</w:t>
      </w:r>
      <w:r>
        <w:rPr>
          <w:i/>
        </w:rPr>
        <w:t xml:space="preserve">REF-NEIL?</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(discussed below), canopy position, or microhabitat</w:t>
      </w:r>
      <w:r>
        <w:t xml:space="preserve"> </w:t>
      </w:r>
      <w:r>
        <w:t xml:space="preserve">(e.g., Bennett et al., 2015; McGregor et al., 2020; Rollinson et al., n.d.)</w:t>
      </w:r>
      <w:r>
        <w:t xml:space="preserve">.</w:t>
      </w:r>
    </w:p>
    <w:p>
      <w:pPr>
        <w:pStyle w:val="BodyText"/>
      </w:pPr>
      <w:r>
        <w:rPr>
          <w:b/>
        </w:rP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(REFS), typically peaking at temperatures</w:t>
      </w:r>
      <w:r>
        <w:t xml:space="preserve"> </w:t>
      </w:r>
      <w:r>
        <w:rPr>
          <w:i/>
        </w:rPr>
        <w:t xml:space="preserve">reflective of the environment to which the organism is acclimated</w:t>
      </w:r>
      <w:r>
        <w:rPr>
          <w:i/>
        </w:rPr>
        <w:t xml:space="preserve"> </w:t>
      </w:r>
      <w:r>
        <w:rPr>
          <w:i/>
        </w:rP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n.d.;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analysis methods are designed around first-order linear growth-climate relationships</w:t>
      </w:r>
      <w:r>
        <w:t xml:space="preserve"> </w:t>
      </w:r>
      <w:r>
        <w:t xml:space="preserve">(Fritts, 1976</w:t>
      </w:r>
      <w:r>
        <w:t xml:space="preserve"> </w:t>
      </w:r>
      <w:r>
        <w:rPr>
          <w:b/>
        </w:rPr>
        <w:t xml:space="preserve">??</w:t>
      </w:r>
      <w:r>
        <w:t xml:space="preserve">)</w:t>
      </w:r>
      <w:r>
        <w:t xml:space="preserve">.</w:t>
      </w:r>
      <w:r>
        <w:t xml:space="preserve"> </w:t>
      </w:r>
      <w:r>
        <w:t xml:space="preserve">Dendrochronological studies allowing for nonlinear or threshold responses of tree growth to climate are less common</w:t>
      </w:r>
      <w:r>
        <w:t xml:space="preserve"> </w:t>
      </w:r>
      <w:r>
        <w:t xml:space="preserve">(Cavin &amp; Jump, 2017; Cook &amp; Johnson, 1989; Tolwinski-Ward et al., 2013; Tumajer et al., 2017; Woodhouse, 1999)</w:t>
      </w:r>
      <w:r>
        <w:t xml:space="preserve">, and we therefore know little about the nonlinearities in growth responses to interannual variation in climate that occur for trees within forest settings.</w:t>
      </w:r>
      <w:r>
        <w:t xml:space="preserve"> </w:t>
      </w:r>
      <w:r>
        <w:t xml:space="preserve">Furthermore, tree-ring studies do not commonly consider the additive or interactive effects of climate variables on annual growth</w:t>
      </w:r>
      <w:r>
        <w:t xml:space="preserve"> </w:t>
      </w:r>
      <w:r>
        <w:t xml:space="preserve">(but see Meko et al., 2011; Foster et al., 2016; Sánchez-Salguero et al., 2015)</w:t>
      </w:r>
      <w:r>
        <w:t xml:space="preserve">.</w:t>
      </w:r>
      <w:r>
        <w:t xml:space="preserve"> </w:t>
      </w:r>
      <w:r>
        <w:t xml:space="preserve">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n.d.)</w:t>
      </w:r>
      <w:r>
        <w:t xml:space="preserve">, but their influence may occur over different time windows.</w:t>
      </w:r>
    </w:p>
    <w:p>
      <w:pPr>
        <w:pStyle w:val="BodyText"/>
      </w:pPr>
      <w:r>
        <w:rPr>
          <w:b/>
        </w:rPr>
        <w:t xml:space="preserve">Tree diameter at breast height (</w:t>
      </w:r>
      <m:oMath>
        <m:r>
          <m:t>D</m:t>
        </m:r>
        <m:r>
          <m:t>B</m:t>
        </m:r>
        <m:r>
          <m:t>H</m:t>
        </m:r>
      </m:oMath>
      <w:r>
        <w:rPr>
          <w:b/>
        </w:rPr>
        <w:t xml:space="preserve">) is closely correlated with numerous variables affecting tree growth rate [e.g., height, crown size and position, root mass; REF] and therefore is one of the most important variables influencing growth</w:t>
      </w:r>
      <w:r>
        <w:rPr>
          <w:b/>
        </w:rPr>
        <w:t xml:space="preserve"> </w:t>
      </w:r>
      <w:r>
        <w:rPr>
          <w:b/>
        </w:rPr>
        <w:t xml:space="preserve">(e.g., Muller-Landau et al., 2006; Foster et al., 2016)</w:t>
      </w:r>
      <w:r>
        <w:rPr>
          <w:b/>
        </w:rPr>
        <w:t xml:space="preserve"> </w:t>
      </w:r>
      <w:r>
        <w:rPr>
          <w:b/>
        </w:rPr>
        <w:t xml:space="preserve">and its climate sensitivity</w:t>
      </w:r>
      <w:r>
        <w:rPr>
          <w:b/>
        </w:rPr>
        <w:t xml:space="preserve"> </w:t>
      </w:r>
      <w:r>
        <w:rPr>
          <w:b/>
        </w:rPr>
        <w:t xml:space="preserve">(e.g., Bennett et al., 2015; McGregor et al., 2020)</w:t>
      </w:r>
      <w:r>
        <w:rPr>
          <w:b/>
        </w:rP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w:t>
      </w:r>
      <w:r>
        <w:t xml:space="preserve"> </w:t>
      </w:r>
      <w:r>
        <w:t xml:space="preserve">(Fritts, 1976 ?)</w:t>
      </w:r>
      <w:r>
        <w:t xml:space="preserve">, this approach is not optimal for subsequent inference of the climate sensitivity of forest productivity.</w:t>
      </w:r>
      <w:r>
        <w:t xml:space="preserve"> </w:t>
      </w:r>
      <w:r>
        <w:t xml:space="preserve">Although climate correlations can be transformed to climate sensitivity</w:t>
      </w:r>
      <w:r>
        <w:t xml:space="preserve"> </w:t>
      </w:r>
      <w:r>
        <w:t xml:space="preserve">(</w:t>
      </w:r>
      <w:r>
        <w:rPr>
          <w:i/>
        </w:rPr>
        <w:t xml:space="preserve">i.e.</w:t>
      </w:r>
      <w:r>
        <w:t xml:space="preserve">, magnitude of response,</w:t>
      </w:r>
      <w:r>
        <w:t xml:space="preserve"> </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relatively more sensitive to drought</w:t>
      </w:r>
      <w:r>
        <w:t xml:space="preserve"> </w:t>
      </w:r>
      <w:r>
        <w:t xml:space="preserve">(Bennett et al., 2015; Gillerot et al., 2020; McGregor et al., 2020)</w:t>
      </w:r>
      <w:r>
        <w:t xml:space="preserve">, and responses to temperature can also vary with tree size</w:t>
      </w:r>
      <w:r>
        <w:t xml:space="preserve"> </w:t>
      </w:r>
      <w:r>
        <w:t xml:space="preserve">(Rollinson et al., n.d.; Rossi et al., 2007)</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 in a systematic, integrative way.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(e.g., Evans et al., 2017; Klesse et al., 2020)</w:t>
      </w:r>
      <w:r>
        <w:t xml:space="preserve"> </w:t>
      </w:r>
      <w:r>
        <w:t xml:space="preserve">and its potential climate interactions</w:t>
      </w:r>
      <w:r>
        <w:t xml:space="preserve"> </w:t>
      </w:r>
      <w:r>
        <w:t xml:space="preserve">(e.g., Rollinson et al., n.d.)</w:t>
      </w:r>
      <w:r>
        <w:t xml:space="preserve">.</w:t>
      </w:r>
    </w:p>
    <w:p>
      <w:pPr>
        <w:pStyle w:val="BodyText"/>
      </w:pPr>
      <w:r>
        <w:rPr>
          <w:b/>
        </w:rPr>
        <w:t xml:space="preserve">Characterizing how tree growth and forest productivity are responding to global change (slowly-changing environmental drivers) is very challenging and uncertain.</w:t>
      </w:r>
      <w:r>
        <w:t xml:space="preserve"> </w:t>
      </w:r>
      <w:r>
        <w:t xml:space="preserve">Directional climate change (as opposed to interannual variation), rising atmospheric CO</w:t>
      </w:r>
      <w:r>
        <w:rPr>
          <w:vertAlign w:val="subscript"/>
        </w:rPr>
        <w:t xml:space="preserve">2</w:t>
      </w:r>
      <w:r>
        <w:t xml:space="preserve">, and atmospheric deposition of sulfur dioxide (SO</w:t>
      </w:r>
      <w:r>
        <w:rPr>
          <w:vertAlign w:val="subscript"/>
        </w:rPr>
        <w:t xml:space="preserve">2</w:t>
      </w:r>
      <w:r>
        <w:t xml:space="preserve">) and nitrogen oxides (NO</w:t>
      </w:r>
      <w:r>
        <w:rPr>
          <w:vertAlign w:val="subscript"/>
        </w:rPr>
        <w:t xml:space="preserve">x</w:t>
      </w:r>
      <w:r>
        <w:t xml:space="preserve">) are all potentially influencing tree growth</w:t>
      </w:r>
      <w:r>
        <w:t xml:space="preserve"> </w:t>
      </w:r>
      <w:r>
        <w:t xml:space="preserve">(e.g., Levesque et al., 2017; Mathias &amp; Thomas, 2018; Walker et al., 2020)</w:t>
      </w:r>
      <w:r>
        <w:t xml:space="preserve">.</w:t>
      </w:r>
      <w:r>
        <w:t xml:space="preserve"> </w:t>
      </w:r>
      <w:r>
        <w:t xml:space="preserve">At the same time, stand dynamics influence growth: tree growth rates are sensitive to competition (</w:t>
      </w:r>
      <w:r>
        <w:rPr>
          <w:b/>
        </w:rPr>
        <w:t xml:space="preserve">REFS</w:t>
      </w:r>
      <w:r>
        <w:t xml:space="preserve">), the intensity of which tends to increase as forests mature, and to canopy position, which can change directionally as trees overtop or are overtopped by their neighbors.</w:t>
      </w:r>
      <w:r>
        <w:t xml:space="preserve"> </w:t>
      </w:r>
      <w:r>
        <w:t xml:space="preserve">Moreover, carbon allocation to woody growth – as opposed to leaf or root production, reproduction, defenses, etc. – is known to decline as individual trees and forest stands stands age</w:t>
      </w:r>
      <w:r>
        <w:t xml:space="preserve"> </w:t>
      </w:r>
      <w:r>
        <w:t xml:space="preserve">(</w:t>
      </w:r>
      <w:r>
        <w:rPr>
          <w:b/>
        </w:rPr>
        <w:t xml:space="preserve">REFS</w:t>
      </w:r>
      <w:r>
        <w:t xml:space="preserve">; Thomas, 2011)</w:t>
      </w:r>
      <w:r>
        <w:t xml:space="preserve">.</w:t>
      </w:r>
      <w:r>
        <w:t xml:space="preserve"> </w:t>
      </w:r>
      <w:r>
        <w:t xml:space="preserve">However, tree size and time are almost inextricably linked (because each individual core increases in</w:t>
      </w:r>
      <w:r>
        <w:t xml:space="preserve"> </w:t>
      </w:r>
      <m:oMath>
        <m:r>
          <m:t>D</m:t>
        </m:r>
        <m:r>
          <m:t>B</m:t>
        </m:r>
        <m:r>
          <m:t>H</m:t>
        </m:r>
      </m:oMath>
      <w:r>
        <w:t xml:space="preserve"> </w:t>
      </w:r>
      <w:r>
        <w:t xml:space="preserve">through time) and therefore difficult to disentangle, being subject to various sampling and analysis biases</w:t>
      </w:r>
      <w:r>
        <w:t xml:space="preserve"> </w:t>
      </w:r>
      <w:r>
        <w:t xml:space="preserve">(Brienen et al., 2017, 2012; Cherubini et al., 1998; Hember et al., 2019; Nehrbass-Ahles et al., 2014; Peters et al., 2015; Sullivan et al., 2016)</w:t>
      </w:r>
      <w:r>
        <w:t xml:space="preserve">.</w:t>
      </w:r>
      <w:r>
        <w:br w:type="textWrapping"/>
      </w:r>
      <w:r>
        <w:t xml:space="preserve">Continued improvement of analytical methods, in combination with sampling approaches that minimize potential biases, will be important to disentangling</w:t>
      </w:r>
      <w:r>
        <w:t xml:space="preserve"> </w:t>
      </w:r>
      <m:oMath>
        <m:r>
          <m:t>D</m:t>
        </m:r>
        <m:r>
          <m:t>B</m:t>
        </m:r>
        <m:r>
          <m:t>H</m:t>
        </m:r>
      </m:oMath>
      <w:r>
        <w:t xml:space="preserve"> </w:t>
      </w:r>
      <w:r>
        <w:t xml:space="preserve">from time and detecting directional growth trends.</w:t>
      </w:r>
    </w:p>
    <w:p>
      <w:pPr>
        <w:pStyle w:val="BodyText"/>
      </w:pPr>
      <w:r>
        <w:rPr>
          <w:b/>
        </w:rPr>
        <w:t xml:space="preserve">Here, we develop a new method that allows simultaneous consideration of the effects of principle climate drivers (pre-selected in an objective manner), tree size and year on annual tree growth.</w:t>
      </w:r>
      <w:r>
        <w:t xml:space="preserve"> </w:t>
      </w:r>
      <w:r>
        <w:t xml:space="preserve">This approach allows us to ask:</w:t>
      </w:r>
      <w:r>
        <w:t xml:space="preserve"> </w:t>
      </w:r>
      <w:r>
        <w:t xml:space="preserve">(1) What are the most important climate drivers (and their time windows), and what is the shape of the relationship between annual growth and these drivers?</w:t>
      </w:r>
      <w:r>
        <w:t xml:space="preserve"> </w:t>
      </w:r>
      <w:r>
        <w:t xml:space="preserve">(2)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(3) How do climate drivers and</w:t>
      </w:r>
      <w:r>
        <w:t xml:space="preserve"> </w:t>
      </w:r>
      <m:oMath>
        <m:r>
          <m:t>D</m:t>
        </m:r>
        <m:r>
          <m:t>B</m:t>
        </m:r>
        <m:r>
          <m:t>H</m:t>
        </m:r>
      </m:oMath>
      <w:r>
        <w:t xml:space="preserve"> </w:t>
      </w:r>
      <w:r>
        <w:t xml:space="preserve">additively and interactively shape growth?</w:t>
      </w:r>
      <w:r>
        <w:t xml:space="preserve"> </w:t>
      </w:r>
      <w:r>
        <w:t xml:space="preserve">(4) How have growth rates changed through time?</w:t>
      </w:r>
    </w:p>
    <w:p>
      <w:pPr>
        <w:pStyle w:val="Heading1"/>
      </w:pPr>
      <w:bookmarkStart w:id="27" w:name="Materials"/>
      <w:r>
        <w:t xml:space="preserve">Materials and Methods</w:t>
      </w:r>
      <w:bookmarkEnd w:id="27"/>
    </w:p>
    <w:p>
      <w:pPr>
        <w:pStyle w:val="Heading2"/>
      </w:pPr>
      <w:bookmarkStart w:id="28" w:name="Data"/>
      <w:r>
        <w:t xml:space="preserve">Data sources and preparation</w:t>
      </w:r>
      <w:bookmarkEnd w:id="28"/>
    </w:p>
    <w:p>
      <w:pPr>
        <w:pStyle w:val="FirstParagraph"/>
      </w:pPr>
      <w:r>
        <w:t xml:space="preserve">We analyzed previously collected tree-ring data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Anderson-Teixeira, Davies, et al., 2015; Davies et al., 2021)</w:t>
      </w:r>
      <w:r>
        <w:t xml:space="preserve">.</w:t>
      </w:r>
      <w:r>
        <w:t xml:space="preserve"> </w:t>
      </w:r>
      <w:r>
        <w:t xml:space="preserve">Trees of species represented within the ForestGEO plots were cored within the plot (n=#) and/or within 10 km (n=#), following a variety of sampling protocols designed to meet the varied objectives of the original studies (Tables S1, S3).</w:t>
      </w:r>
      <w:r>
        <w:t xml:space="preserve"> </w:t>
      </w:r>
      <w:r>
        <w:t xml:space="preserve">There was wide variation in the distribution of record start years, which reflect–with some error–the age distribution of trees cored (Figs. S1-S10).</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Table S1, and species and their sample sizes are detailed in Tables S2-S3.</w:t>
      </w:r>
      <w:r>
        <w:t xml:space="preserve"> </w:t>
      </w:r>
      <w:r>
        <w:drawing>
          <wp:inline>
            <wp:extent cx="5943600" cy="3306174"/>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9"/>
                    <a:stretch>
                      <a:fillRect/>
                    </a:stretch>
                  </pic:blipFill>
                  <pic:spPr bwMode="auto">
                    <a:xfrm>
                      <a:off x="0" y="0"/>
                      <a:ext cx="5943600" cy="3306174"/>
                    </a:xfrm>
                    <a:prstGeom prst="rect">
                      <a:avLst/>
                    </a:prstGeom>
                    <a:noFill/>
                    <a:ln w="9525">
                      <a:noFill/>
                      <a:headEnd/>
                      <a:tailEnd/>
                    </a:ln>
                  </pic:spPr>
                </pic:pic>
              </a:graphicData>
            </a:graphic>
          </wp:inline>
        </w:drawing>
      </w:r>
    </w:p>
    <w:p>
      <w:pPr>
        <w:pStyle w:val="BodyText"/>
      </w:pPr>
      <w:r>
        <w:t xml:space="preserve">All tree cores were cross-dated and measured by the original researchers using standard dendrochronological practices</w:t>
      </w:r>
      <w:r>
        <w:t xml:space="preserve"> </w:t>
      </w:r>
      <w:r>
        <w:t xml:space="preserve">(Stokes, 1968)</w:t>
      </w:r>
      <w:r>
        <w:t xml:space="preserve">.</w:t>
      </w:r>
      <w:r>
        <w:t xml:space="preserve"> </w:t>
      </w:r>
      <w:r>
        <w:t xml:space="preserve">From among the full set of</w:t>
      </w:r>
      <w:r>
        <w:t xml:space="preserve"> </w:t>
      </w:r>
      <m:oMath>
        <m:r>
          <m:t>R</m:t>
        </m:r>
        <m:r>
          <m:t>W</m:t>
        </m:r>
      </m:oMath>
      <w:r>
        <w:t xml:space="preserve"> </w:t>
      </w:r>
      <w:r>
        <w:t xml:space="preserve">measurements from</w:t>
      </w:r>
      <w:r>
        <w:t xml:space="preserve"> </w:t>
      </w:r>
      <w:r>
        <w:rPr>
          <w:i/>
        </w:rPr>
        <w:t xml:space="preserve">#</w:t>
      </w:r>
      <w:r>
        <w:t xml:space="preserve"> </w:t>
      </w:r>
      <w:r>
        <w:t xml:space="preserve">original cores, we excluded cores for which we detected errors (e.g., labeling inconsistencies, obvious dating errors) that could not be resolved before finalizing the analysis (n=</w:t>
      </w:r>
      <w:r>
        <w:rPr>
          <w:i/>
        </w:rPr>
        <w:t xml:space="preserve">#</w:t>
      </w:r>
      <w:r>
        <w:t xml:space="preserve">).</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edges of the</w:t>
      </w:r>
      <w:r>
        <w:t xml:space="preserve"> </w:t>
      </w:r>
      <m:oMath>
        <m:r>
          <m:t>D</m:t>
        </m:r>
        <m:r>
          <m:t>B</m:t>
        </m:r>
        <m:r>
          <m:t>H</m:t>
        </m:r>
      </m:oMath>
      <w:r>
        <w:t xml:space="preserve"> </w:t>
      </w:r>
      <w:r>
        <w:t xml:space="preserve">range, starting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4459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species were calculated using the R packages</w:t>
      </w:r>
      <w:r>
        <w:t xml:space="preserve"> </w:t>
      </w:r>
      <w:r>
        <w:rPr>
          <w:i/>
        </w:rPr>
        <w:t xml:space="preserve">allo-db</w:t>
      </w:r>
      <w:r>
        <w:t xml:space="preserve"> </w:t>
      </w:r>
      <w:r>
        <w:t xml:space="preserve">(Gonzalez-Akre et al. in review) and</w:t>
      </w:r>
      <w:r>
        <w:t xml:space="preserve"> </w:t>
      </w:r>
      <w:r>
        <w:rPr>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(Harris et al., 2014,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All ForestGEO climate records used here are archived in the ForestGEO Climate Data Portal, v1.0</w:t>
      </w:r>
      <w:r>
        <w:t xml:space="preserve"> </w:t>
      </w:r>
      <w:r>
        <w:t xml:space="preserve">(Anderson-Teixeira et al., 2020)</w:t>
      </w:r>
      <w:r>
        <w:t xml:space="preserve">.</w:t>
      </w:r>
    </w:p>
    <w:p>
      <w:pPr>
        <w:pStyle w:val="Heading2"/>
      </w:pPr>
      <w:bookmarkStart w:id="30" w:name="Analysis"/>
      <w:r>
        <w:t xml:space="preserve">Analysis methods</w:t>
      </w:r>
      <w:bookmarkEnd w:id="30"/>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w:t>
      </w:r>
      <w:r>
        <w:t xml:space="preserve"> </w:t>
      </w:r>
      <w:r>
        <w:t xml:space="preserve">The analysis was run separately for each site (step 1), site-species combination (step 2),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r>
        <w:t xml:space="preserve"> </w:t>
      </w:r>
      <w:r>
        <w:t xml:space="preserve">We note that step 1 could be performed separately for each site-species combination, but for purposes of this analysis we sought to identify site-level climate drivers.</w:t>
      </w:r>
    </w:p>
    <w:p>
      <w:pPr>
        <w:pStyle w:val="CaptionedFigure"/>
      </w:pPr>
      <w:r>
        <w:drawing>
          <wp:inline>
            <wp:extent cx="5943600" cy="3915368"/>
            <wp:effectExtent b="0" l="0" r="0" t="0"/>
            <wp:docPr descr="Figure 1 | DRAFT Schematic illustrating our analysis process. This analysis was conducted separately for each site (step 1) and species (step 2)."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31"/>
                    <a:stretch>
                      <a:fillRect/>
                    </a:stretch>
                  </pic:blipFill>
                  <pic:spPr bwMode="auto">
                    <a:xfrm>
                      <a:off x="0" y="0"/>
                      <a:ext cx="5943600" cy="3915368"/>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was conducted separately for each site (step 1) and species (step 2).</w:t>
      </w:r>
    </w:p>
    <w:p>
      <w:pPr>
        <w:pStyle w:val="Heading3"/>
      </w:pPr>
      <w:bookmarkStart w:id="32" w:name="Climate"/>
      <w:r>
        <w:t xml:space="preserve">Climate variable selection</w:t>
      </w:r>
      <w:bookmarkEnd w:id="32"/>
    </w:p>
    <w:p>
      <w:pPr>
        <w:pStyle w:val="FirstParagraph"/>
      </w:pPr>
      <w:r>
        <w:t xml:space="preserve">We used the</w:t>
      </w:r>
      <w:r>
        <w:t xml:space="preserve"> </w:t>
      </w:r>
      <w:r>
        <w:rPr>
          <w:i/>
        </w:rPr>
        <w:t xml:space="preserve">climwin</w:t>
      </w:r>
      <w:r>
        <w:t xml:space="preserve"> </w:t>
      </w:r>
      <w:r>
        <w:t xml:space="preserve">package in R</w:t>
      </w:r>
      <w:r>
        <w:t xml:space="preserve"> </w:t>
      </w:r>
      <w:r>
        <w:t xml:space="preserve">(van de Pol et al., 2016)</w:t>
      </w:r>
      <w:r>
        <w:t xml:space="preserve"> </w:t>
      </w:r>
      <w: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w:t>
      </w:r>
      <w:r>
        <w:t xml:space="preserve"> </w:t>
      </w:r>
      <m:oMath>
        <m:r>
          <m:t>P</m:t>
        </m:r>
        <m:r>
          <m:t>E</m:t>
        </m:r>
        <m:r>
          <m:t>T</m:t>
        </m:r>
      </m:oMath>
      <w:r>
        <w:t xml:space="preserve">) and a precipitation group (</w:t>
      </w:r>
      <m:oMath>
        <m:r>
          <m:t>P</m:t>
        </m:r>
        <m:r>
          <m:t>P</m:t>
        </m:r>
        <m:r>
          <m:t>T</m:t>
        </m:r>
      </m:oMath>
      <w:r>
        <w:t xml:space="preserve">,</w:t>
      </w:r>
      <w:r>
        <w:t xml:space="preserve"> </w:t>
      </w:r>
      <m:oMath>
        <m:r>
          <m:t>P</m:t>
        </m:r>
        <m:r>
          <m:t>D</m:t>
        </m:r>
        <m:r>
          <m:t>F</m:t>
        </m:r>
      </m:oMath>
      <w:r>
        <w:t xml:space="preserve">).</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using a generalized additive model (GAM) to fit a spline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w:t>
      </w:r>
      <w:r>
        <w:rPr>
          <w:i/>
        </w:rPr>
        <w:t xml:space="preserve">From coauthors: Include formula. How did you decide how flexible to make the spline?</w:t>
      </w:r>
      <w:r>
        <w:t xml:space="preserve">)</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(when</w:t>
      </w:r>
      <w:r>
        <w:t xml:space="preserve"> </w:t>
      </w:r>
      <m:oMath>
        <m:r>
          <m:t>n</m:t>
        </m:r>
        <m:r>
          <m:t>≥</m:t>
        </m:r>
        <m:r>
          <m:t>3</m:t>
        </m:r>
      </m:oMath>
      <w:r>
        <w:t xml:space="preserve">) and core identity as random effects (noting that these effects should be minimal given that residuals are centered around zero):</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individual species, as detailed in Appendix S4.</w:t>
      </w:r>
      <w:r>
        <w:t xml:space="preserve"> </w:t>
      </w:r>
      <w:r>
        <w:t xml:space="preserve">Furthermore, we explored alternate methods of climate variable selection for the two sites that have undergone the most rapid changes in climate and tree growth: SC, where rapidly rising temperatures are causing melting permafrost, summer moisture stress, and growth declines</w:t>
      </w:r>
      <w:r>
        <w:t xml:space="preserve"> </w:t>
      </w:r>
      <w:r>
        <w:t xml:space="preserve">(Sniderhan &amp; Baltzer, 2016)</w:t>
      </w:r>
      <w:r>
        <w:t xml:space="preserve">, and LT, where increasingly warm drought has dramatically reduced growth</w:t>
      </w:r>
      <w:r>
        <w:t xml:space="preserve"> </w:t>
      </w:r>
      <w:r>
        <w:t xml:space="preserve">(</w:t>
      </w:r>
      <w:r>
        <w:rPr>
          <w:b/>
        </w:rPr>
        <w:t xml:space="preserve">???</w:t>
      </w:r>
      <w:r>
        <w:t xml:space="preserve">)</w:t>
      </w:r>
      <w:r>
        <w:t xml:space="preserve">.</w:t>
      </w:r>
      <w:r>
        <w:t xml:space="preserve"> </w:t>
      </w:r>
      <w:r>
        <w:t xml:space="preserve">We ultimately determined that the method described above was adequate for the purposes of this analysis (Appendix S5).</w:t>
      </w:r>
    </w:p>
    <w:p>
      <w:pPr>
        <w:pStyle w:val="Heading3"/>
      </w:pPr>
      <w:bookmarkStart w:id="33" w:name="Combining"/>
      <w:r>
        <w:t xml:space="preserve">Combining drivers in GLS model</w:t>
      </w:r>
      <w:bookmarkEnd w:id="33"/>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generalized least squares (GLS) model (Fig. 1).</w:t>
      </w:r>
      <w:r>
        <w:t xml:space="preserve"> </w:t>
      </w:r>
      <w:r>
        <w:t xml:space="preserve">Before running the models, we checked for collinearity among the candidate variables using the</w:t>
      </w:r>
      <w:r>
        <w:t xml:space="preserve"> </w:t>
      </w:r>
      <w:r>
        <w:rPr>
          <w:i/>
        </w:rPr>
        <w:t xml:space="preserve">vifstep</w:t>
      </w:r>
      <w:r>
        <w:t xml:space="preserve"> </w:t>
      </w:r>
      <w:r>
        <w:t xml:space="preserve">function (</w:t>
      </w:r>
      <w:r>
        <w:rPr>
          <w:b/>
        </w:rPr>
        <w:t xml:space="preserve">REF</w:t>
      </w:r>
      <w:r>
        <w:t xml:space="preserve">) 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Rather than detrending these variables to produce residuals, the temporal autocorrelation of individual tree’s growth was accounted for by the specifying an autocorrelation structure of order 1, with</w:t>
      </w:r>
      <w:r>
        <w:t xml:space="preserve"> </w:t>
      </w:r>
      <m:oMath>
        <m:r>
          <m:t>y</m:t>
        </m:r>
        <m:r>
          <m:t>e</m:t>
        </m:r>
        <m:r>
          <m:t>a</m:t>
        </m:r>
        <m:r>
          <m:t>r</m:t>
        </m:r>
      </m:oMath>
      <w:r>
        <w:t xml:space="preserve"> </w:t>
      </w:r>
      <w:r>
        <w:t xml:space="preserve">as a continuous time covariate and</w:t>
      </w:r>
      <w:r>
        <w:t xml:space="preserve"> </w:t>
      </w:r>
      <m:oMath>
        <m:r>
          <m:t>c</m:t>
        </m:r>
        <m:r>
          <m:t>o</m:t>
        </m:r>
        <m:r>
          <m:t>r</m:t>
        </m:r>
        <m:r>
          <m:t>e</m:t>
        </m:r>
        <m:r>
          <m:t>I</m:t>
        </m:r>
        <m:r>
          <m:t>D</m:t>
        </m:r>
      </m:oMath>
      <w:r>
        <w:t xml:space="preserve"> </w:t>
      </w:r>
      <w:r>
        <w:t xml:space="preserve">as a grouping factor, in the GLS’s model specification.</w:t>
      </w:r>
      <w:r>
        <w:t xml:space="preserve"> </w:t>
      </w:r>
      <w:r>
        <w:rPr>
          <w:i/>
        </w:rPr>
        <w:t xml:space="preserve">(include model formula)</w:t>
      </w:r>
      <w:r>
        <w:t xml:space="preserve"> </w:t>
      </w: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p>
    <w:p>
      <w:pPr>
        <w:pStyle w:val="BodyText"/>
      </w:pP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p>
    <w:p>
      <w:pPr>
        <w:pStyle w:val="BodyText"/>
      </w:pPr>
      <w:r>
        <w:t xml:space="preserve">To test for</w:t>
      </w:r>
      <w:r>
        <w:t xml:space="preserve"> </w:t>
      </w:r>
      <m:oMath>
        <m:r>
          <m:t>y</m:t>
        </m:r>
        <m:r>
          <m:t>e</m:t>
        </m:r>
        <m:r>
          <m:t>a</m:t>
        </m:r>
        <m:r>
          <m:t>r</m:t>
        </m:r>
      </m:oMath>
      <w:r>
        <w:t xml:space="preserve"> </w:t>
      </w:r>
      <w:r>
        <w:t xml:space="preserve">effects, we limited the analysis to species with reasonable coverage of an</w:t>
      </w:r>
      <w:r>
        <w:t xml:space="preserve"> </w:t>
      </w:r>
      <m:oMath>
        <m:r>
          <m:t>D</m:t>
        </m:r>
        <m:r>
          <m:t>B</m:t>
        </m:r>
        <m:r>
          <m:t>H</m:t>
        </m:r>
      </m:oMath>
      <w:r>
        <w:t xml:space="preserve"> </w:t>
      </w:r>
      <w:r>
        <w:t xml:space="preserve">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t>≥</m:t>
        </m:r>
      </m:oMath>
      <w:r>
        <w:t xml:space="preserve"> </w:t>
      </w:r>
      <w:r>
        <w:t xml:space="preserve">3 trees spanning</w:t>
      </w:r>
      <w:r>
        <w:t xml:space="preserve"> </w:t>
      </w:r>
      <m:oMath>
        <m:r>
          <m:t>≥</m:t>
        </m:r>
      </m:oMath>
      <w:r>
        <w:t xml:space="preserve"> </w:t>
      </w:r>
      <w:r>
        <w:t xml:space="preserve">40% the total</w:t>
      </w:r>
      <w:r>
        <w:t xml:space="preserve"> </w:t>
      </w:r>
      <m:oMath>
        <m:r>
          <m:t>D</m:t>
        </m:r>
        <m:r>
          <m:t>B</m:t>
        </m:r>
        <m:r>
          <m:t>H</m:t>
        </m:r>
      </m:oMath>
      <w:r>
        <w:t xml:space="preserve"> </w:t>
      </w:r>
      <w:r>
        <w:t xml:space="preserve">range for</w:t>
      </w:r>
      <w:r>
        <w:t xml:space="preserve"> </w:t>
      </w:r>
      <m:oMath>
        <m:r>
          <m:t>≥</m:t>
        </m:r>
        <m:r>
          <m:t>2</m:t>
        </m:r>
        <m:r>
          <m:t>/</m:t>
        </m:r>
        <m:r>
          <m:t>3</m:t>
        </m:r>
      </m:oMath>
      <w:r>
        <w:t xml:space="preserve"> </w:t>
      </w:r>
      <w:r>
        <w:t xml:space="preserve">of the total time range analyzed.</w:t>
      </w:r>
      <w:r>
        <w:t xml:space="preserve"> </w:t>
      </w:r>
      <w:r>
        <w:t xml:space="preserve">Species that failed to meet this criteria (n=</w:t>
      </w:r>
      <w:r>
        <w:t xml:space="preserve"> </w:t>
      </w:r>
      <w:r>
        <w:rPr>
          <w:b/>
        </w:rPr>
        <w:t xml:space="preserve">N</w:t>
      </w:r>
      <w:r>
        <w:t xml:space="preserve">) were excluded from this analysis.</w:t>
      </w:r>
      <w:r>
        <w:t xml:space="preserve"> </w:t>
      </w:r>
      <w:r>
        <w:t xml:space="preserve">We then ran models as described above, including a first-order linear effect of</w:t>
      </w:r>
      <w:r>
        <w:t xml:space="preserve"> </w:t>
      </w:r>
      <m:oMath>
        <m:r>
          <m:t>y</m:t>
        </m:r>
        <m:r>
          <m:t>e</m:t>
        </m:r>
        <m:r>
          <m:t>a</m:t>
        </m:r>
        <m:r>
          <m:t>r</m:t>
        </m:r>
      </m:oMath>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compared GLS results to an analysis of</w:t>
      </w:r>
      <w:r>
        <w:t xml:space="preserve"> </w:t>
      </w:r>
      <m:oMath>
        <m:r>
          <m:t>D</m:t>
        </m:r>
        <m:r>
          <m:t>B</m:t>
        </m:r>
        <m:r>
          <m:t>H</m:t>
        </m:r>
      </m:oMath>
      <w:r>
        <w:t xml:space="preserve">-growth relationships by decade (Figs. S41-S50).</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p>
      <w:pPr>
        <w:pStyle w:val="Heading1"/>
      </w:pPr>
      <w:bookmarkStart w:id="34" w:name="Results"/>
      <w:r>
        <w:t xml:space="preserve">Results</w:t>
      </w:r>
      <w:bookmarkEnd w:id="34"/>
    </w:p>
    <w:p>
      <w:pPr>
        <w:pStyle w:val="Heading2"/>
      </w:pPr>
      <w:bookmarkStart w:id="35" w:name="Climate"/>
      <w:r>
        <w:t xml:space="preserve">Climate sensitivity</w:t>
      </w:r>
      <w:bookmarkEnd w:id="35"/>
    </w:p>
    <w:p>
      <w:pPr>
        <w:pStyle w:val="FirstParagraph"/>
      </w:pPr>
      <w:r>
        <w:t xml:space="preserve">Using</w:t>
      </w:r>
      <w:r>
        <w:t xml:space="preserve"> </w:t>
      </w:r>
      <m:oMath>
        <m:r>
          <m:t>R</m:t>
        </m:r>
        <m:r>
          <m:t>W</m:t>
        </m:r>
      </m:oMath>
      <w:r>
        <w:t xml:space="preserve"> </w:t>
      </w:r>
      <w:r>
        <w:t xml:space="preserve">as the growth metric, our process identified similar climate drivers to those identified via traditional dendrochronological analysis methods (Figs. 2, S11-S14; Table S5; Appendix S4).</w:t>
      </w:r>
      <w:r>
        <w:t xml:space="preserve"> </w:t>
      </w:r>
      <w:r>
        <w:t xml:space="preserve">While one-to-one correspondence of estimated climate coefficients was neither expected nor observed, estimates were correlated and rarely differed significantly (Appendix S4; S11-S14).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using the chronologies of Helcoski et al. 2019). Black rectangle represents the period selected by climwin as the most influential window.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1-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6"/>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 (using the chronologies of Helcoski et al. 2019).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(1-3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exhibited similar strength of correlation and direction of response to climate variables across the range of potential time windows, but the optimal time window or even the top climate variable sometimes differed (Figs. S15-S17).</w:t>
      </w:r>
      <w:r>
        <w:t xml:space="preserve"> </w:t>
      </w:r>
      <w:r>
        <w:t xml:space="preserve">In 8 of 20 cases, both the optimal climate variable and time window were identical across growth metrics (e.g., Fig. S15).</w:t>
      </w:r>
      <w:r>
        <w:t xml:space="preserve"> </w:t>
      </w:r>
      <w:r>
        <w:t xml:space="preserve">In 10 cases,</w:t>
      </w:r>
      <w:r>
        <w:t xml:space="preserve"> </w:t>
      </w:r>
      <w:r>
        <w:rPr>
          <w:i/>
        </w:rPr>
        <w:t xml:space="preserve">climwin</w:t>
      </w:r>
      <w:r>
        <w:t xml:space="preserve"> </w:t>
      </w:r>
      <w:r>
        <w:t xml:space="preserve">identified the same climate variable but different (often overlapping) time windows (e.g., Fig. S16).</w:t>
      </w:r>
      <w:r>
        <w:t xml:space="preserve"> </w:t>
      </w:r>
      <w:r>
        <w:t xml:space="preserve">Finally, in two cases of variables that had only weak effects and mixed responses among species in the final models (temperature variable group at HKK, precipitation variable group at HF; Figs. 3, S20, S36),</w:t>
      </w:r>
      <w:r>
        <w:t xml:space="preserve"> </w:t>
      </w:r>
      <w:r>
        <w:rPr>
          <w:i/>
        </w:rPr>
        <w:t xml:space="preserve">climwin</w:t>
      </w:r>
      <w:r>
        <w:t xml:space="preserve"> </w:t>
      </w:r>
      <w:r>
        <w:t xml:space="preserve">identified different climate variables and different time windows (e.g., Fig. S17).</w:t>
      </w:r>
      <w:r>
        <w:t xml:space="preserve"> </w:t>
      </w:r>
      <w:r>
        <w:t xml:space="preserve">Henceforth, unless otherwise noted, we focus on the climate sensitivities identified with</w:t>
      </w:r>
      <w:r>
        <w:t xml:space="preserve"> </w:t>
      </w:r>
      <m:oMath>
        <m:r>
          <m:t>R</m:t>
        </m:r>
        <m:r>
          <m:t>W</m:t>
        </m:r>
      </m:oMath>
      <w:r>
        <w:t xml:space="preserve"> </w:t>
      </w:r>
      <w:r>
        <w:t xml:space="preserve">as the growth metric and for the full set of cores (</w:t>
      </w:r>
      <w:r>
        <w:rPr>
          <w:i/>
        </w:rPr>
        <w:t xml:space="preserve">i.e.</w:t>
      </w:r>
      <w:r>
        <w:t xml:space="preserve">, including those for which</w:t>
      </w:r>
      <w:r>
        <w:t xml:space="preserve"> </w:t>
      </w:r>
      <m:oMath>
        <m:r>
          <m:t>D</m:t>
        </m:r>
        <m:r>
          <m:t>B</m:t>
        </m:r>
        <m:r>
          <m:t>H</m:t>
        </m:r>
      </m:oMath>
      <w:r>
        <w:t xml:space="preserve"> </w:t>
      </w:r>
      <w:r>
        <w:t xml:space="preserve">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80% of site-species combinations (n=37 of 46; Fig. 3).</w:t>
      </w:r>
      <w:r>
        <w:t xml:space="preserve"> </w:t>
      </w:r>
      <w:r>
        <w:t xml:space="preserve">There were seven site-species combinations for which only a precipitation term was significant (2 at BCNM, 3 at SCBI, and 2 at LDW), one for which only a temperature term was significant (</w:t>
      </w:r>
      <w:r>
        <w:rPr>
          <w:i/>
        </w:rPr>
        <w:t xml:space="preserve">Chukrasia tabularis</w:t>
      </w:r>
      <w:r>
        <w:t xml:space="preserve"> </w:t>
      </w:r>
      <w:r>
        <w:t xml:space="preserve">at HKK),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3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rPr>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w:t>
      </w:r>
    </w:p>
    <w:p>
      <w:pPr>
        <w:pStyle w:val="BodyText"/>
      </w:pPr>
      <w:r>
        <w:t xml:space="preserve">Responses to precipitation amount (</w:t>
      </w:r>
      <m:oMath>
        <m:r>
          <m:t>P</m:t>
        </m:r>
        <m:r>
          <m:t>P</m:t>
        </m:r>
        <m:r>
          <m:t>T</m:t>
        </m:r>
      </m:oMath>
      <w:r>
        <w:t xml:space="preserve">) and frequency (</w:t>
      </w:r>
      <m:oMath>
        <m:r>
          <m:t>P</m:t>
        </m:r>
        <m:r>
          <m:t>D</m:t>
        </m:r>
        <m:r>
          <m:t>F</m:t>
        </m:r>
      </m:oMath>
      <w:r>
        <w:t xml:space="preserve">) were included in the best model for all but one species, and were predominantly positive (Fig. 3).</w:t>
      </w:r>
      <w:r>
        <w:t xml:space="preserve"> </w:t>
      </w:r>
      <m:oMath>
        <m:r>
          <m:t>P</m:t>
        </m:r>
        <m:r>
          <m:t>P</m:t>
        </m:r>
        <m:r>
          <m:t>T</m:t>
        </m:r>
      </m:oMath>
      <w:r>
        <w:t xml:space="preserve"> </w:t>
      </w:r>
      <w:r>
        <w:t xml:space="preserve">and</w:t>
      </w:r>
      <w:r>
        <w:t xml:space="preserve"> </w:t>
      </w:r>
      <m:oMath>
        <m:r>
          <m:t>P</m:t>
        </m:r>
        <m:r>
          <m:t>D</m:t>
        </m:r>
        <m:r>
          <m:t>F</m:t>
        </m:r>
      </m:oMath>
      <w:r>
        <w:t xml:space="preserve"> </w:t>
      </w:r>
      <w:r>
        <w:t xml:space="preserve">were each identified as the top variable in four of the eight sites with both variables available, while</w:t>
      </w:r>
      <w:r>
        <w:t xml:space="preserve"> </w:t>
      </w:r>
      <m:oMath>
        <m:r>
          <m:t>P</m:t>
        </m:r>
        <m:r>
          <m:t>P</m:t>
        </m:r>
        <m:r>
          <m:t>T</m:t>
        </m:r>
      </m:oMath>
      <w:r>
        <w:t xml:space="preserve"> </w:t>
      </w:r>
      <w:r>
        <w:t xml:space="preserve">was the only option at two (LT and CB).</w:t>
      </w:r>
      <w:r>
        <w:t xml:space="preserve"> </w:t>
      </w:r>
      <w:r>
        <w:t xml:space="preserve">Optimal time windows most commonly coincided at least partially with the months of most active growth in the current year (Fig. 3; Table S1): wet seasons in the tropics (BCNM and HKK) or late spring/ early summer in the extratropics (n= 5 of 8).</w:t>
      </w:r>
      <w:r>
        <w:t xml:space="preserve"> </w:t>
      </w:r>
      <w:r>
        <w:t xml:space="preserve">In the tropics, the long time windows over which precipitation was influential (12 mo at BCNM, 9 mo at HKK) also included the majority (BCNM) or all (HKK) of the dry season.</w:t>
      </w:r>
      <w:r>
        <w:t xml:space="preserve"> </w:t>
      </w:r>
      <w:r>
        <w:t xml:space="preserve">At two extratropical sites (LDW, NIO), the most influential windows were limited to the current spring and early summer, whereas optimal windows at three sites extended back to the previous fall (LT, CB) or summer (SCBI).</w:t>
      </w:r>
      <w:r>
        <w:t xml:space="preserve"> </w:t>
      </w:r>
      <w:r>
        <w:t xml:space="preserve">Finally, at three sites (HF, ZOF, and SC), precipitation of the previous growing season was the most influential variable.</w:t>
      </w:r>
      <w:r>
        <w:t xml:space="preserve"> </w:t>
      </w:r>
      <w:r>
        <w:t xml:space="preserve">Responses to</w:t>
      </w:r>
      <w:r>
        <w:t xml:space="preserve"> </w:t>
      </w:r>
      <m:oMath>
        <m:r>
          <m:t>P</m:t>
        </m:r>
        <m:r>
          <m:t>P</m:t>
        </m:r>
        <m:r>
          <m:t>T</m:t>
        </m:r>
      </m:oMath>
      <w:r>
        <w:t xml:space="preserve"> </w:t>
      </w:r>
      <w:r>
        <w:t xml:space="preserve">or</w:t>
      </w:r>
      <w:r>
        <w:t xml:space="preserve"> </w:t>
      </w:r>
      <m:oMath>
        <m:r>
          <m:t>P</m:t>
        </m:r>
        <m:r>
          <m:t>D</m:t>
        </m:r>
        <m:r>
          <m:t>F</m:t>
        </m:r>
      </m:oMath>
      <w:r>
        <w:t xml:space="preserve"> </w:t>
      </w:r>
      <w:r>
        <w:t xml:space="preserve">were predominantly positive, with positive first-order linear terms for all but two species (</w:t>
      </w:r>
      <w:r>
        <w:rPr>
          <w:i/>
        </w:rPr>
        <w:t xml:space="preserve">Tsuga canadensis</w:t>
      </w:r>
      <w:r>
        <w:t xml:space="preserve"> </w:t>
      </w:r>
      <w:r>
        <w:t xml:space="preserve">at HF and</w:t>
      </w:r>
      <w:r>
        <w:t xml:space="preserve"> </w:t>
      </w:r>
      <w:r>
        <w:rPr>
          <w:i/>
        </w:rPr>
        <w:t xml:space="preserve">Betula papyrifera</w:t>
      </w:r>
      <w:r>
        <w:t xml:space="preserve"> </w:t>
      </w:r>
      <w:r>
        <w:t xml:space="preserve">at NIO; Fig. 3).</w:t>
      </w:r>
      <w:r>
        <w:t xml:space="preserve"> </w:t>
      </w:r>
      <w:r>
        <w:t xml:space="preserve">Negative second-order terms were commonly included in the best model (32 of 42 with positive first-order terms), generally resulting in a deceleration or decline at the highest levels of precipitation, but occasionally producing a unimodal (e.g., several species at SCBI) or predominantly negative response (e.g., BEAL at HF; Fig. 3).</w:t>
      </w:r>
      <w:r>
        <w:t xml:space="preserve"> </w:t>
      </w:r>
      <w:r>
        <w:t xml:space="preserve">At the riparian site (NIO), for which streamflow was included as a candidate variable in the precipitation group, May</w:t>
      </w:r>
      <w:r>
        <w:t xml:space="preserve"> </w:t>
      </w:r>
      <m:oMath>
        <m:r>
          <m:t>P</m:t>
        </m:r>
        <m:r>
          <m:t>D</m:t>
        </m:r>
        <m:r>
          <m:t>F</m:t>
        </m:r>
      </m:oMath>
      <w:r>
        <w:t xml:space="preserve"> </w:t>
      </w:r>
      <w:r>
        <w:t xml:space="preserve">was selected as the strongest driver but had a modest negative effect on growth, indicating that water availability was not a significant limitation for</w:t>
      </w:r>
      <w:r>
        <w:t xml:space="preserve"> </w:t>
      </w:r>
      <w:r>
        <w:rPr>
          <w:i/>
        </w:rPr>
        <w:t xml:space="preserve">Betula papyrifera</w:t>
      </w:r>
      <w:r>
        <w:t xml:space="preserve"> </w:t>
      </w:r>
      <w:r>
        <w:t xml:space="preserve">at this site.</w:t>
      </w:r>
    </w:p>
    <w:p>
      <w:pPr>
        <w:pStyle w:val="BodyText"/>
      </w:pPr>
      <w:r>
        <w:t xml:space="preserve">A temperature variable was included in the best model for all but eight site-species combinations, with predominantly negative responses, particularly at the higher end of the temperature range (84%; 34% with negative first-order term, 50% with positive first-order term but negative second-order term;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
        </w:rPr>
        <w:t xml:space="preserve">climwin</w:t>
      </w:r>
      <w:r>
        <w:t xml:space="preserve"> </w:t>
      </w:r>
      <w:r>
        <w:t xml:space="preserve">as the top temperature-related driver at five and three of the ten sites, respectively, noting that</w:t>
      </w:r>
      <w:r>
        <w:t xml:space="preserve"> </w:t>
      </w:r>
      <m:oMath>
        <m:r>
          <m:t>P</m:t>
        </m:r>
        <m:r>
          <m:t>E</m:t>
        </m:r>
        <m:r>
          <m:t>T</m:t>
        </m:r>
      </m:oMath>
      <w:r>
        <w:t xml:space="preserve"> </w:t>
      </w:r>
      <w:r>
        <w:t xml:space="preserve">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BCNM, respectively), noting that the effects of</w:t>
      </w:r>
      <w:r>
        <w:t xml:space="preserve"> </w:t>
      </w:r>
      <m:oMath>
        <m:sSub>
          <m:e>
            <m:r>
              <m:t>T</m:t>
            </m:r>
          </m:e>
          <m:sub>
            <m:r>
              <m:t>m</m:t>
            </m:r>
            <m:r>
              <m:t>i</m:t>
            </m:r>
            <m:r>
              <m:t>n</m:t>
            </m:r>
          </m:sub>
        </m:sSub>
      </m:oMath>
      <w:r>
        <w:t xml:space="preserve"> </w:t>
      </w:r>
      <w:r>
        <w:t xml:space="preserve">at BCNM were only marginally significant (Fig. 3).</w:t>
      </w:r>
      <w:r>
        <w:t xml:space="preserve"> </w:t>
      </w:r>
      <w:r>
        <w:t xml:space="preserve">Optimal time windows most commonly occurred during the peak growing season of the current year (n= 5 of 10 sites), but there were cases where optimal windows occurred during the preceding dry season (BCNM), late winter/early spring (HF, ZOF), or the previous growing season (NIO,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w:t>
      </w:r>
      <w:r>
        <w:rPr>
          <w:i/>
        </w:rPr>
        <w:t xml:space="preserve">i.e.</w:t>
      </w:r>
      <w:r>
        <w:t xml:space="preserv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w:t>
      </w:r>
      <w:r>
        <w:t xml:space="preserve"> </w:t>
      </w:r>
      <m:oMath>
        <m:r>
          <m:t>P</m:t>
        </m:r>
        <m:r>
          <m:t>E</m:t>
        </m:r>
        <m:r>
          <m:t>T</m:t>
        </m:r>
      </m:oMath>
      <w:r>
        <w:t xml:space="preserve"> </w:t>
      </w:r>
      <w:r>
        <w:t xml:space="preserve">for</w:t>
      </w:r>
      <w:r>
        <w:t xml:space="preserve"> </w:t>
      </w:r>
      <w:r>
        <w:rPr>
          <w:i/>
        </w:rPr>
        <w:t xml:space="preserve">Tsuga Canadensis</w:t>
      </w:r>
      <w:r>
        <w:t xml:space="preserve"> </w:t>
      </w:r>
      <w:r>
        <w:t xml:space="preserve">at HF, the latter contrasting with a negative response of the other three species at HF (Fig. 3).</w:t>
      </w:r>
      <w:r>
        <w:t xml:space="preserve"> </w:t>
      </w:r>
      <w:r>
        <w:t xml:space="preserve">At the highest-latitude site (SC), which has undergone rapid warming and permafrost melt,</w:t>
      </w:r>
      <w:r>
        <w:t xml:space="preserve"> </w:t>
      </w:r>
      <w:r>
        <w:rPr>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 S38).</w:t>
      </w:r>
    </w:p>
    <w:p>
      <w:pPr>
        <w:pStyle w:val="Heading2"/>
      </w:pPr>
      <w:bookmarkStart w:id="38" w:name="Influence"/>
      <w:r>
        <w:t xml:space="preserve">Influence of DBH</w:t>
      </w:r>
      <w:bookmarkEnd w:id="38"/>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m:oMath>
        <m:r>
          <m:t>R</m:t>
        </m:r>
        <m:r>
          <m:t>W</m:t>
        </m:r>
      </m:oMath>
      <w:r>
        <w:t xml:space="preserve"> </w:t>
      </w:r>
      <w:r>
        <w:t xml:space="preserve">varied significantly with</w:t>
      </w:r>
      <w:r>
        <w:t xml:space="preserve"> </w:t>
      </w:r>
      <m:oMath>
        <m:r>
          <m:t>D</m:t>
        </m:r>
        <m:r>
          <m:t>B</m:t>
        </m:r>
        <m:r>
          <m:t>H</m:t>
        </m:r>
      </m:oMath>
      <w:r>
        <w:t xml:space="preserve"> </w:t>
      </w:r>
      <w:r>
        <w:t xml:space="preserve">for 81% of species-site combinations (n= 35 of 43), and the majority of best models included a significant second-order linear</w:t>
      </w:r>
      <w:r>
        <w:t xml:space="preserve"> </w:t>
      </w:r>
      <m:oMath>
        <m:r>
          <m:t>D</m:t>
        </m:r>
        <m:r>
          <m:t>B</m:t>
        </m:r>
        <m:r>
          <m:t>H</m:t>
        </m:r>
      </m:oMath>
      <w:r>
        <w:t xml:space="preserve"> </w:t>
      </w:r>
      <w:r>
        <w:t xml:space="preserve">term (n= 26, 21 of which were negative).</w:t>
      </w:r>
      <w:r>
        <w:t xml:space="preserve"> </w:t>
      </w:r>
      <w:r>
        <w:t xml:space="preserve">There was substantial variation in these trends, with patterns mixed across both forests and species within a single stand (Fig. 4).</w:t>
      </w:r>
      <w:r>
        <w:t xml:space="preserve"> </w:t>
      </w:r>
      <w:r>
        <w:t xml:space="preserve">On one end of the spectrum, some species exhibited maximum</w:t>
      </w:r>
      <w:r>
        <w:t xml:space="preserve"> </w:t>
      </w:r>
      <m:oMath>
        <m:r>
          <m:t>R</m:t>
        </m:r>
        <m:r>
          <m:t>W</m:t>
        </m:r>
      </m:oMath>
      <w:r>
        <w:t xml:space="preserve"> </w:t>
      </w:r>
      <w:r>
        <w:t xml:space="preserve">at low</w:t>
      </w:r>
      <w:r>
        <w:t xml:space="preserve"> </w:t>
      </w:r>
      <m:oMath>
        <m:r>
          <m:t>D</m:t>
        </m:r>
        <m:r>
          <m:t>B</m:t>
        </m:r>
        <m:r>
          <m:t>H</m:t>
        </m:r>
      </m:oMath>
      <w:r>
        <w:t xml:space="preserve">, followed by fairly rapid declines in</w:t>
      </w:r>
      <w:r>
        <w:t xml:space="preserve"> </w:t>
      </w:r>
      <m:oMath>
        <m:r>
          <m:t>R</m:t>
        </m:r>
        <m:r>
          <m:t>W</m:t>
        </m:r>
      </m:oMath>
      <w:r>
        <w:t xml:space="preserve"> </w:t>
      </w:r>
      <w:r>
        <w:t xml:space="preserve">with increasing</w:t>
      </w:r>
      <w:r>
        <w:t xml:space="preserve"> </w:t>
      </w:r>
      <m:oMath>
        <m:r>
          <m:t>D</m:t>
        </m:r>
        <m:r>
          <m:t>B</m:t>
        </m:r>
        <m:r>
          <m:t>H</m:t>
        </m:r>
      </m:oMath>
      <w:r>
        <w:t xml:space="preserve">.</w:t>
      </w:r>
      <w:r>
        <w:t xml:space="preserve"> </w:t>
      </w:r>
      <w:r>
        <w:t xml:space="preserve">Species following this pattern either had low to at most intermediate shade tolerance (e.g.,</w:t>
      </w:r>
      <w:r>
        <w:t xml:space="preserve"> </w:t>
      </w:r>
      <w:r>
        <w:rPr>
          <w:i/>
        </w:rPr>
        <w:t xml:space="preserve">Melia azedarach</w:t>
      </w:r>
      <w:r>
        <w:t xml:space="preserve"> </w:t>
      </w:r>
      <w:r>
        <w:t xml:space="preserve">at HKK,</w:t>
      </w:r>
      <w:r>
        <w:t xml:space="preserve"> </w:t>
      </w:r>
      <w:r>
        <w:rPr>
          <w:i/>
        </w:rPr>
        <w:t xml:space="preserve">Juglans nigra</w:t>
      </w:r>
      <w:r>
        <w:t xml:space="preserve"> </w:t>
      </w:r>
      <w:r>
        <w:t xml:space="preserve">at SCBI,</w:t>
      </w:r>
      <w:r>
        <w:t xml:space="preserve"> </w:t>
      </w:r>
      <w:r>
        <w:rPr>
          <w:i/>
        </w:rPr>
        <w:t xml:space="preserve">Acer rubrum</w:t>
      </w:r>
      <w:r>
        <w:t xml:space="preserve"> </w:t>
      </w:r>
      <w:r>
        <w:t xml:space="preserve">at HF,</w:t>
      </w:r>
      <w:r>
        <w:t xml:space="preserve"> </w:t>
      </w:r>
      <w:r>
        <w:rPr>
          <w:i/>
        </w:rPr>
        <w:t xml:space="preserve">Betula papyrifera</w:t>
      </w:r>
      <w:r>
        <w:t xml:space="preserve"> </w:t>
      </w:r>
      <w:r>
        <w:t xml:space="preserve">at NIO;</w:t>
      </w:r>
      <w:r>
        <w:t xml:space="preserve"> </w:t>
      </w:r>
      <w:r>
        <w:rPr>
          <w:i/>
        </w:rPr>
        <w:t xml:space="preserve">Populous tremuloides</w:t>
      </w:r>
      <w:r>
        <w:t xml:space="preserve"> </w:t>
      </w:r>
      <w:r>
        <w:t xml:space="preserve">at CB; Table S2) and/or grew in relatively open stands (e.g., both species at LT,</w:t>
      </w:r>
      <w:r>
        <w:t xml:space="preserve"> </w:t>
      </w:r>
      <w:r>
        <w:rPr>
          <w:i/>
        </w:rPr>
        <w:t xml:space="preserve">Picea mariana</w:t>
      </w:r>
      <w:r>
        <w:t xml:space="preserve"> </w:t>
      </w:r>
      <w:r>
        <w:t xml:space="preserve">at SC; Fig. 4).</w:t>
      </w:r>
      <w:r>
        <w:t xml:space="preserve"> </w:t>
      </w:r>
      <w:r>
        <w:t xml:space="preserve">At the other end of the spectrum, some species had low</w:t>
      </w:r>
      <w:r>
        <w:t xml:space="preserve"> </w:t>
      </w:r>
      <m:oMath>
        <m:r>
          <m:t>R</m:t>
        </m:r>
        <m:r>
          <m:t>W</m:t>
        </m:r>
      </m:oMath>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at intermediate</w:t>
      </w:r>
      <w:r>
        <w:t xml:space="preserve"> </w:t>
      </w:r>
      <m:oMath>
        <m:r>
          <m:t>D</m:t>
        </m:r>
        <m:r>
          <m:t>B</m:t>
        </m:r>
        <m:r>
          <m:t>H</m:t>
        </m:r>
      </m:oMath>
      <w:r>
        <w:t xml:space="preserve">, and subsequently declined.</w:t>
      </w:r>
      <w:r>
        <w:t xml:space="preserve"> </w:t>
      </w:r>
      <w:r>
        <w:t xml:space="preserve">These included, but were not limited to, shade-tolerant species at sites where they presumably established under closed-canopy conditions (e.g.,</w:t>
      </w:r>
      <w:r>
        <w:t xml:space="preserve"> </w:t>
      </w:r>
      <w:r>
        <w:rPr>
          <w:i/>
        </w:rPr>
        <w:t xml:space="preserve">Trichilia tuberculata</w:t>
      </w:r>
      <w:r>
        <w:t xml:space="preserve"> </w:t>
      </w:r>
      <w:r>
        <w:t xml:space="preserve">and</w:t>
      </w:r>
      <w:r>
        <w:t xml:space="preserve"> </w:t>
      </w:r>
      <w:r>
        <w:rPr>
          <w:i/>
        </w:rPr>
        <w:t xml:space="preserve">Tetragastris panamensis</w:t>
      </w:r>
      <w:r>
        <w:t xml:space="preserve"> </w:t>
      </w:r>
      <w:r>
        <w:t xml:space="preserve">at BCNM;</w:t>
      </w:r>
      <w:r>
        <w:t xml:space="preserve"> </w:t>
      </w:r>
      <w:r>
        <w:rPr>
          <w:i/>
        </w:rPr>
        <w:t xml:space="preserve">Fagus</w:t>
      </w:r>
      <w:r>
        <w:t xml:space="preserve"> </w:t>
      </w:r>
      <w:r>
        <w:t xml:space="preserve">spp. at SCBI and Žofín,</w:t>
      </w:r>
      <w:r>
        <w:t xml:space="preserve"> </w:t>
      </w:r>
      <w:r>
        <w:rPr>
          <w:i/>
        </w:rPr>
        <w:t xml:space="preserve">Acer saccharum</w:t>
      </w:r>
      <w:r>
        <w:t xml:space="preserve"> </w:t>
      </w:r>
      <w:r>
        <w:t xml:space="preserve">at LDW,</w:t>
      </w:r>
      <w:r>
        <w:t xml:space="preserve"> </w:t>
      </w:r>
      <w:r>
        <w:rPr>
          <w:i/>
        </w:rPr>
        <w:t xml:space="preserve">Picea</w:t>
      </w:r>
      <w:r>
        <w:t xml:space="preserve"> </w:t>
      </w:r>
      <w:r>
        <w:t xml:space="preserve">spp. at Žofín and CB; Table S2).</w:t>
      </w:r>
    </w:p>
    <w:p>
      <w:pPr>
        <w:pStyle w:val="BodyText"/>
      </w:pPr>
      <w:r>
        <w:rPr>
          <w:b/>
        </w:rPr>
        <w:t xml:space="preserve">Trends in both</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were far more consistent across sites and species, most commonly increasing to a peak at intermediate</w:t>
      </w:r>
      <w:r>
        <w:rPr>
          <w:b/>
        </w:rPr>
        <w:t xml:space="preserve"> </w:t>
      </w:r>
      <m:oMath>
        <m:r>
          <m:t>D</m:t>
        </m:r>
        <m:r>
          <m:t>B</m:t>
        </m:r>
        <m:r>
          <m:t>H</m:t>
        </m:r>
      </m:oMath>
      <w:r>
        <w:rPr>
          <w:b/>
        </w:rPr>
        <w:t xml:space="preserve"> </w:t>
      </w:r>
      <w:r>
        <w:rPr>
          <w:b/>
        </w:rPr>
        <w:t xml:space="preserve">and then declining (Fig. 4).</w:t>
      </w:r>
      <w:r>
        <w:t xml:space="preserve"> </w:t>
      </w:r>
      <w:r>
        <w:t xml:space="preserve">Best models for</w:t>
      </w:r>
      <w:r>
        <w:t xml:space="preserve"> </w:t>
      </w:r>
      <m:oMath>
        <m:r>
          <m:t>B</m:t>
        </m:r>
        <m:r>
          <m:t>A</m:t>
        </m:r>
        <m:r>
          <m:t>I</m:t>
        </m:r>
      </m:oMath>
      <w:r>
        <w:t xml:space="preserve"> </w:t>
      </w:r>
      <w:r>
        <w:t xml:space="preserve">included</w:t>
      </w:r>
      <w:r>
        <w:t xml:space="preserve"> </w:t>
      </w:r>
      <m:oMath>
        <m:r>
          <m:t>D</m:t>
        </m:r>
        <m:r>
          <m:t>B</m:t>
        </m:r>
        <m:r>
          <m:t>H</m:t>
        </m:r>
      </m:oMath>
      <w:r>
        <w:t xml:space="preserve"> </w:t>
      </w:r>
      <w:r>
        <w:t xml:space="preserve">and</w:t>
      </w:r>
      <w:r>
        <w:t xml:space="preserve"> </w:t>
      </w:r>
      <m:oMath>
        <m:r>
          <m:t>D</m:t>
        </m:r>
        <m:r>
          <m:t>B</m:t>
        </m:r>
        <m:sSup>
          <m:e>
            <m:r>
              <m:t>H</m:t>
            </m:r>
          </m:e>
          <m:sup>
            <m:r>
              <m:t>2</m:t>
            </m:r>
          </m:sup>
        </m:sSup>
      </m:oMath>
      <w:r>
        <w:t xml:space="preserve"> </w:t>
      </w:r>
      <w:r>
        <w:t xml:space="preserve">for 42 of 43 species (exception:</w:t>
      </w:r>
      <w:r>
        <w:t xml:space="preserve"> </w:t>
      </w:r>
      <w:r>
        <w:rPr>
          <w:i/>
        </w:rPr>
        <w:t xml:space="preserve">Acer rubrum</w:t>
      </w:r>
      <w:r>
        <w:t xml:space="preserve"> </w:t>
      </w:r>
      <w:r>
        <w:t xml:space="preserve">at HF), with a positive coefficient for</w:t>
      </w:r>
      <w:r>
        <w:t xml:space="preserve"> </w:t>
      </w:r>
      <m:oMath>
        <m:r>
          <m:t>D</m:t>
        </m:r>
        <m:r>
          <m:t>B</m:t>
        </m:r>
        <m:r>
          <m:t>H</m:t>
        </m:r>
      </m:oMath>
      <w:r>
        <w:t xml:space="preserve"> </w:t>
      </w:r>
      <w:r>
        <w:t xml:space="preserve">in 40 (exceptions: non-significant negative coefficients for</w:t>
      </w:r>
      <w:r>
        <w:t xml:space="preserve"> </w:t>
      </w:r>
      <w:r>
        <w:rPr>
          <w:i/>
        </w:rPr>
        <w:t xml:space="preserve">Pinus ponderosa</w:t>
      </w:r>
      <w:r>
        <w:t xml:space="preserve"> </w:t>
      </w:r>
      <w:r>
        <w:t xml:space="preserve">at LT and</w:t>
      </w:r>
      <w:r>
        <w:t xml:space="preserve"> </w:t>
      </w:r>
      <w:r>
        <w:rPr>
          <w:i/>
        </w:rPr>
        <w:t xml:space="preserve">Pinus longaeva</w:t>
      </w:r>
      <w:r>
        <w:t xml:space="preserve"> </w:t>
      </w:r>
      <w:r>
        <w:t xml:space="preserve">at CB, whose reconstructed</w:t>
      </w:r>
      <w:r>
        <w:t xml:space="preserve"> </w:t>
      </w:r>
      <m:oMath>
        <m:r>
          <m:t>D</m:t>
        </m:r>
        <m:r>
          <m:t>B</m:t>
        </m:r>
        <m:r>
          <m:t>H</m:t>
        </m:r>
      </m:oMath>
      <w:r>
        <w:t xml:space="preserve">s did not extend down to 0cm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r>
        <w:t xml:space="preserve"> </w:t>
      </w:r>
      <w:r>
        <w:t xml:space="preserve">For</w:t>
      </w:r>
      <w:r>
        <w:t xml:space="preserve"> </w:t>
      </w:r>
      <m:oMath>
        <m:r>
          <m:t>Δ</m:t>
        </m:r>
        <m:r>
          <m:t>A</m:t>
        </m:r>
        <m:r>
          <m:t>G</m:t>
        </m:r>
        <m:r>
          <m:t>B</m:t>
        </m:r>
      </m:oMath>
      <w:r>
        <w:t xml:space="preserve">, models were even more consistent, with the best models for 98% of species containing a positive coefficient for</w:t>
      </w:r>
      <w:r>
        <w:t xml:space="preserve"> </w:t>
      </w:r>
      <m:oMath>
        <m:r>
          <m:t>D</m:t>
        </m:r>
        <m:r>
          <m:t>B</m:t>
        </m:r>
        <m:r>
          <m:t>H</m:t>
        </m:r>
      </m:oMath>
      <w:r>
        <w:t xml:space="preserve"> </w:t>
      </w:r>
      <w:r>
        <w:t xml:space="preserve">and a negative coefficient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p>
    <w:p>
      <w:pPr>
        <w:pStyle w:val="CaptionedFigure"/>
      </w:pPr>
      <w:r>
        <w:drawing>
          <wp:inline>
            <wp:extent cx="5943600" cy="5943600"/>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3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p>
      <w:pPr>
        <w:pStyle w:val="Heading2"/>
      </w:pPr>
      <w:bookmarkStart w:id="40" w:name="Additive"/>
      <w:r>
        <w:t xml:space="preserve">Additive and interactive effects of climate and DBH</w:t>
      </w:r>
      <w:bookmarkEnd w:id="40"/>
    </w:p>
    <w:p>
      <w:pPr>
        <w:pStyle w:val="FirstParagraph"/>
      </w:pPr>
      <w:r>
        <w:t xml:space="preserve">When a precipitation variable, a temperature variable, and</w:t>
      </w:r>
      <w:r>
        <w:t xml:space="preserve"> </w:t>
      </w:r>
      <m:oMath>
        <m:r>
          <m:t>D</m:t>
        </m:r>
        <m:r>
          <m:t>B</m:t>
        </m:r>
        <m:r>
          <m:t>H</m:t>
        </m:r>
      </m:oMath>
      <w:r>
        <w:t xml:space="preserve"> </w:t>
      </w:r>
      <w: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w:t>
      </w:r>
      <w:r>
        <w:t xml:space="preserve"> </w:t>
      </w:r>
      <m:oMath>
        <m:r>
          <m:t>D</m:t>
        </m:r>
        <m:r>
          <m:t>B</m:t>
        </m:r>
        <m:r>
          <m:t>H</m:t>
        </m:r>
      </m:oMath>
      <w:r>
        <w:t xml:space="preserve"> </w:t>
      </w:r>
      <w:r>
        <w:t xml:space="preserve">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S18-S37).</w:t>
      </w:r>
      <w:r>
        <w:t xml:space="preserve"> </w:t>
      </w:r>
      <w:r>
        <w:t xml:space="preserve">Responses to</w:t>
      </w:r>
      <w:r>
        <w:t xml:space="preserve"> </w:t>
      </w:r>
      <m:oMath>
        <m:r>
          <m:t>D</m:t>
        </m:r>
        <m:r>
          <m:t>B</m:t>
        </m:r>
        <m:r>
          <m:t>H</m:t>
        </m:r>
      </m:oMath>
      <w:r>
        <w:t xml:space="preserve"> </w:t>
      </w:r>
      <w:r>
        <w:t xml:space="preserve">were as described above (Fig. 4).</w:t>
      </w:r>
    </w:p>
    <w:p>
      <w:pPr>
        <w:pStyle w:val="BodyText"/>
      </w:pPr>
      <w:r>
        <w:t xml:space="preserve">In general,</w:t>
      </w:r>
      <w:r>
        <w:t xml:space="preserve"> </w:t>
      </w:r>
      <m:oMath>
        <m:r>
          <m:t>D</m:t>
        </m:r>
        <m:r>
          <m:t>B</m:t>
        </m:r>
        <m:r>
          <m:t>H</m:t>
        </m:r>
      </m:oMath>
      <w:r>
        <w:t xml:space="preserve"> </w:t>
      </w:r>
      <w:r>
        <w:t xml:space="preserve">explained more variation in growth rates than did climate, but its relative importance varied across growth metrics and sites (Figs. S18-S37).</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S22).</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S32).</w:t>
      </w:r>
      <w:r>
        <w:t xml:space="preserve"> </w:t>
      </w:r>
      <w:r>
        <w:t xml:space="preserve">The relative importance of climate was modest (but still significant) at sites including SCBI (Fig. S22), HF (Fig. S36), and SC (Fig. S36), and stronger at sites including BCNM (Fig. S18) and LT (Fig. S32).</w:t>
      </w:r>
    </w:p>
    <w:p>
      <w:pPr>
        <w:pStyle w:val="BodyText"/>
      </w:pPr>
      <w:r>
        <w:t xml:space="preserve">Interactive effects of climate and</w:t>
      </w:r>
      <w:r>
        <w:t xml:space="preserve"> </w:t>
      </w:r>
      <m:oMath>
        <m:r>
          <m:t>D</m:t>
        </m:r>
        <m:r>
          <m:t>B</m:t>
        </m:r>
        <m:r>
          <m:t>H</m:t>
        </m:r>
      </m:oMath>
      <w:r>
        <w:t xml:space="preserve"> </w:t>
      </w:r>
      <w:r>
        <w:t xml:space="preserve">were found for 88 of the 204 (43%) species-variable combinations for which they were tested.</w:t>
      </w:r>
      <w:r>
        <w:t xml:space="preserve"> </w:t>
      </w:r>
      <w:r>
        <w:t xml:space="preserve">For precipitation variables, interactions were significant for 16 of the 36 (44%) interactions with</w:t>
      </w:r>
      <w:r>
        <w:t xml:space="preserve"> </w:t>
      </w:r>
      <m:oMath>
        <m:r>
          <m:t>R</m:t>
        </m:r>
        <m:r>
          <m:t>W</m:t>
        </m:r>
      </m:oMath>
      <w:r>
        <w:t xml:space="preserve"> </w:t>
      </w:r>
      <w:r>
        <w:t xml:space="preserve">as the growth metric (Fig. S39) and for 17 of the 36 (47%) with</w:t>
      </w:r>
      <w:r>
        <w:t xml:space="preserve"> </w:t>
      </w:r>
      <m:oMath>
        <m:r>
          <m:t>B</m:t>
        </m:r>
        <m:r>
          <m:t>A</m:t>
        </m:r>
        <m:r>
          <m:t>I</m:t>
        </m:r>
      </m:oMath>
      <w:r>
        <w:t xml:space="preserve"> </w:t>
      </w:r>
      <w:r>
        <w:t xml:space="preserve">as the growth metric (Fig. S40).</w:t>
      </w:r>
      <w:r>
        <w:t xml:space="preserve"> </w:t>
      </w:r>
      <w:r>
        <w:t xml:space="preserve">The majority of these interactions were positive (75% for</w:t>
      </w:r>
      <w:r>
        <w:t xml:space="preserve"> </w:t>
      </w:r>
      <m:oMath>
        <m:r>
          <m:t>R</m:t>
        </m:r>
        <m:r>
          <m:t>W</m:t>
        </m:r>
      </m:oMath>
      <w:r>
        <w:t xml:space="preserve">; 59% for</w:t>
      </w:r>
      <w:r>
        <w:t xml:space="preserve"> </w:t>
      </w:r>
      <m:oMath>
        <m:r>
          <m:t>B</m:t>
        </m:r>
        <m:r>
          <m:t>A</m:t>
        </m:r>
        <m:r>
          <m:t>I</m:t>
        </m:r>
      </m:oMath>
      <w:r>
        <w:t xml:space="preserve">), indicating that larger trees generally respond more positively (or less negatively) to precipitation or its frequency (Fig. 5).</w:t>
      </w:r>
      <w:r>
        <w:t xml:space="preserve"> </w:t>
      </w:r>
      <w:r>
        <w:t xml:space="preserve">Among the exceptions to this pattern (n=4 for</w:t>
      </w:r>
      <w:r>
        <w:t xml:space="preserve"> </w:t>
      </w:r>
      <m:oMath>
        <m:r>
          <m:t>R</m:t>
        </m:r>
        <m:r>
          <m:t>W</m:t>
        </m:r>
      </m:oMath>
      <w:r>
        <w:t xml:space="preserve">, 7 for</w:t>
      </w:r>
      <w:r>
        <w:t xml:space="preserve"> </w:t>
      </w:r>
      <m:oMath>
        <m:r>
          <m:t>B</m:t>
        </m:r>
        <m:r>
          <m:t>A</m:t>
        </m:r>
        <m:r>
          <m:t>I</m:t>
        </m:r>
      </m:oMath>
      <w:r>
        <w:t xml:space="preserve">), only a minority (n=1 for</w:t>
      </w:r>
      <w:r>
        <w:t xml:space="preserve"> </w:t>
      </w:r>
      <m:oMath>
        <m:r>
          <m:t>R</m:t>
        </m:r>
        <m:r>
          <m:t>W</m:t>
        </m:r>
      </m:oMath>
      <w:r>
        <w:t xml:space="preserve">, 4 for</w:t>
      </w:r>
      <w:r>
        <w:t xml:space="preserve"> </w:t>
      </w:r>
      <m:oMath>
        <m:r>
          <m:t>B</m:t>
        </m:r>
        <m:r>
          <m:t>A</m:t>
        </m:r>
        <m:r>
          <m:t>I</m:t>
        </m:r>
      </m:oMath>
      <w:r>
        <w:t xml:space="preserve">) occurred in species responding positively to precipitation in the current growing season.</w:t>
      </w:r>
    </w:p>
    <w:p>
      <w:pPr>
        <w:pStyle w:val="BodyText"/>
      </w:pPr>
      <w:r>
        <w:t xml:space="preserve">Temperature variable</w:t>
      </w:r>
      <w:r>
        <w:t xml:space="preserve"> </w:t>
      </w:r>
      <m:oMath>
        <m:r>
          <m:t>×</m:t>
        </m:r>
        <m:r>
          <m:t>D</m:t>
        </m:r>
        <m:r>
          <m:t>B</m:t>
        </m:r>
        <m:r>
          <m:t>H</m:t>
        </m:r>
      </m:oMath>
      <w:r>
        <w:t xml:space="preserve"> </w:t>
      </w:r>
      <w:r>
        <w:t xml:space="preserve">interactions were significant for 38% of cases with</w:t>
      </w:r>
      <w:r>
        <w:t xml:space="preserve"> </w:t>
      </w:r>
      <m:oMath>
        <m:r>
          <m:t>R</m:t>
        </m:r>
        <m:r>
          <m:t>W</m:t>
        </m:r>
      </m:oMath>
      <w:r>
        <w:t xml:space="preserve"> </w:t>
      </w:r>
      <w:r>
        <w:t xml:space="preserve">as the growth metric (Fig. S39) and for 47% with</w:t>
      </w:r>
      <w:r>
        <w:t xml:space="preserve"> </w:t>
      </w:r>
      <m:oMath>
        <m:r>
          <m:t>B</m:t>
        </m:r>
        <m:r>
          <m:t>A</m:t>
        </m:r>
        <m:r>
          <m:t>I</m:t>
        </m:r>
      </m:oMath>
      <w:r>
        <w:t xml:space="preserve"> </w:t>
      </w:r>
      <w:r>
        <w:t xml:space="preserve">as the growth metric (Fig. S40).</w:t>
      </w:r>
      <w:r>
        <w:t xml:space="preserve"> </w:t>
      </w:r>
      <w:r>
        <w:t xml:space="preserve">Directions of these interactions were mixed, with 5 of 12 significant interactions negative with</w:t>
      </w:r>
      <w:r>
        <w:t xml:space="preserve"> </w:t>
      </w:r>
      <m:oMath>
        <m:r>
          <m:t>R</m:t>
        </m:r>
        <m:r>
          <m:t>W</m:t>
        </m:r>
      </m:oMath>
      <w:r>
        <w:t xml:space="preserve"> </w:t>
      </w:r>
      <w:r>
        <w:t xml:space="preserve">as the growth metric and 9 of 15 significant interactions negative when</w:t>
      </w:r>
      <w:r>
        <w:t xml:space="preserve"> </w:t>
      </w:r>
      <m:oMath>
        <m:r>
          <m:t>B</m:t>
        </m:r>
        <m:r>
          <m:t>A</m:t>
        </m:r>
        <m:r>
          <m:t>I</m:t>
        </m:r>
      </m:oMath>
      <w:r>
        <w:t xml:space="preserve"> </w:t>
      </w:r>
      <w:r>
        <w:t xml:space="preserve">was the growth metric.</w:t>
      </w:r>
      <w:r>
        <w:t xml:space="preserve"> </w:t>
      </w:r>
      <w:r>
        <w:t xml:space="preserve">For both</w:t>
      </w:r>
      <w:r>
        <w:t xml:space="preserve"> </w:t>
      </w:r>
      <m:oMath>
        <m:r>
          <m:t>R</m:t>
        </m:r>
        <m:r>
          <m:t>W</m:t>
        </m:r>
      </m:oMath>
      <w:r>
        <w:t xml:space="preserve"> </w:t>
      </w:r>
      <w:r>
        <w:t xml:space="preserve">and</w:t>
      </w:r>
      <w:r>
        <w:t xml:space="preserve"> </w:t>
      </w:r>
      <m:oMath>
        <m:r>
          <m:t>B</m:t>
        </m:r>
        <m:r>
          <m:t>A</m:t>
        </m:r>
        <m:r>
          <m:t>I</m:t>
        </m:r>
      </m:oMath>
      <w:r>
        <w:t xml:space="preserve">, the majority of significant negative interactions (</w:t>
      </w:r>
      <w:r>
        <w:rPr>
          <w:i/>
        </w:rPr>
        <w:t xml:space="preserve">i.e.</w:t>
      </w:r>
      <w:r>
        <w:t xml:space="preserve">, more negative/ less positive response of larger trees to higher temperatures) occurred in the more water-limited forests (HKK, LT, CB), whereas positive interactions were more common in mesic forests (SCBI, HF, ZOF).</w:t>
      </w:r>
    </w:p>
    <w:p>
      <w:pPr>
        <w:pStyle w:val="CaptionedFigure"/>
      </w:pPr>
      <w:r>
        <w:drawing>
          <wp:inline>
            <wp:extent cx="5943600" cy="5943600"/>
            <wp:effectExtent b="0" l="0" r="0" t="0"/>
            <wp:docPr descr="Figure 5 | Examples of climate - DBH interactions for three species. Shown are modeled response functions for minimum and maximum DBH…" title="" id="1" name="Picture"/>
            <a:graphic>
              <a:graphicData uri="http://schemas.openxmlformats.org/drawingml/2006/picture">
                <pic:pic>
                  <pic:nvPicPr>
                    <pic:cNvPr descr="tables_figures/pre_temp_groups_dbh_interactions.png" id="0" name="Picture"/>
                    <pic:cNvPicPr>
                      <a:picLocks noChangeArrowheads="1" noChangeAspect="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5 | Examples of climate - DBH interactions for three species.</w:t>
      </w:r>
      <w:r>
        <w:t xml:space="preserve"> </w:t>
      </w:r>
      <w:r>
        <w:t xml:space="preserve">Shown are modeled response functions for minimum and maximum DBH…</w:t>
      </w:r>
    </w:p>
    <w:p>
      <w:pPr>
        <w:pStyle w:val="Heading2"/>
      </w:pPr>
      <w:bookmarkStart w:id="42" w:name="Effects"/>
      <w:r>
        <w:t xml:space="preserve">Effects of year</w:t>
      </w:r>
      <w:bookmarkEnd w:id="42"/>
    </w:p>
    <w:p>
      <w:pPr>
        <w:pStyle w:val="FirstParagraph"/>
      </w:pPr>
      <w:r>
        <w:t xml:space="preserve">There was a significant effect of</w:t>
      </w:r>
      <w:r>
        <w:t xml:space="preserve"> </w:t>
      </w:r>
      <w:r>
        <w:rPr>
          <w:rStyle w:val="VerbatimChar"/>
        </w:rPr>
        <w:t xml:space="preserve">year</w:t>
      </w:r>
      <w:r>
        <w:t xml:space="preserve"> </w:t>
      </w:r>
      <w:r>
        <w:t xml:space="preserve">in the GLS models for 30 - 32 (depending on growth metric) of the 37 species- site combinations tested (Figs. 6, S18-S37), and these trends were consistent with those observed in a separate analysis of</w:t>
      </w:r>
      <w:r>
        <w:t xml:space="preserve"> </w:t>
      </w:r>
      <m:oMath>
        <m:r>
          <m:t>D</m:t>
        </m:r>
        <m:r>
          <m:t>B</m:t>
        </m:r>
        <m:r>
          <m:t>H</m:t>
        </m:r>
      </m:oMath>
      <w:r>
        <w:t xml:space="preserve">-growth relationships by year (Figs. S41-S50).</w:t>
      </w:r>
      <w:r>
        <w:t xml:space="preserve"> </w:t>
      </w:r>
      <w:r>
        <w:t xml:space="preserve">In 90-91% of cases (depending on growth metric), the growth trend over time was negative.</w:t>
      </w:r>
      <w:r>
        <w:t xml:space="preserve"> </w:t>
      </w:r>
      <w:r>
        <w:t xml:space="preserve">Declines were particularly dramatic for</w:t>
      </w:r>
      <w:r>
        <w:t xml:space="preserve"> </w:t>
      </w:r>
      <w:r>
        <w:rPr>
          <w:i/>
        </w:rPr>
        <w:t xml:space="preserve">Picea mariana</w:t>
      </w:r>
      <w:r>
        <w:t xml:space="preserve"> </w:t>
      </w:r>
      <w:r>
        <w:t xml:space="preserve">at SC,</w:t>
      </w:r>
      <w:r>
        <w:t xml:space="preserve"> </w:t>
      </w:r>
      <w:r>
        <w:rPr>
          <w:i/>
        </w:rPr>
        <w:t xml:space="preserve">Pinus ponderosa</w:t>
      </w:r>
      <w:r>
        <w:t xml:space="preserve"> </w:t>
      </w:r>
      <w:r>
        <w:t xml:space="preserve">at LT, all four species at HF, and several species at SCBI (Fig. 6).</w:t>
      </w:r>
      <w:r>
        <w:t xml:space="preserve"> </w:t>
      </w:r>
      <w:r>
        <w:t xml:space="preserve">In these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 6).</w:t>
      </w:r>
      <w:r>
        <w:t xml:space="preserve"> </w:t>
      </w:r>
      <w:r>
        <w:t xml:space="preserve">Significant positive growth trends were observed for only three species,</w:t>
      </w:r>
      <w:r>
        <w:t xml:space="preserve">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
        </w:rPr>
        <w:t xml:space="preserve">Chukrasia tabularis</w:t>
      </w:r>
      <w:r>
        <w:t xml:space="preserve"> </w:t>
      </w:r>
      <w:r>
        <w:t xml:space="preserve">at HKK,</w:t>
      </w:r>
      <w:r>
        <w:t xml:space="preserve"> </w:t>
      </w:r>
      <w:r>
        <w:rPr>
          <w:i/>
        </w:rPr>
        <w:t xml:space="preserve">Pinus strobiformis</w:t>
      </w:r>
      <w:r>
        <w:t xml:space="preserve"> </w:t>
      </w:r>
      <w:r>
        <w:t xml:space="preserve">at LT, and</w:t>
      </w:r>
      <w:r>
        <w:t xml:space="preserve"> </w:t>
      </w:r>
      <w:r>
        <w:rPr>
          <w:i/>
        </w:rPr>
        <w:t xml:space="preserve">Picea engelmannii</w:t>
      </w:r>
      <w:r>
        <w:t xml:space="preserve"> </w:t>
      </w:r>
      <w:r>
        <w:t xml:space="preserve">and</w:t>
      </w:r>
      <w:r>
        <w:t xml:space="preserve"> </w:t>
      </w:r>
      <w:r>
        <w:rPr>
          <w:i/>
        </w:rPr>
        <w:t xml:space="preserve">Pinus longaeva</w:t>
      </w:r>
      <w:r>
        <w:t xml:space="preserve"> </w:t>
      </w:r>
      <w:r>
        <w:t xml:space="preserve">at CB.</w:t>
      </w:r>
    </w:p>
    <w:p>
      <w:pPr>
        <w:pStyle w:val="BodyText"/>
      </w:pPr>
      <w:r>
        <w:t xml:space="preserve">Effects of year and</w:t>
      </w:r>
      <w:r>
        <w:t xml:space="preserve"> </w:t>
      </w:r>
      <m:oMath>
        <m:r>
          <m:t>D</m:t>
        </m:r>
        <m:r>
          <m:t>B</m:t>
        </m:r>
        <m:r>
          <m:t>H</m:t>
        </m:r>
      </m:oMath>
      <w:r>
        <w:t xml:space="preserve"> </w:t>
      </w:r>
      <w:r>
        <w:t xml:space="preserve">interacted such that inclusion of year in in models altered the shape of</w:t>
      </w:r>
      <w:r>
        <w:t xml:space="preserve"> </w:t>
      </w:r>
      <m:oMath>
        <m:r>
          <m:t>D</m:t>
        </m:r>
        <m:r>
          <m:t>B</m:t>
        </m:r>
        <m:r>
          <m:t>H</m:t>
        </m:r>
      </m:oMath>
      <w:r>
        <w:t xml:space="preserve"> </w:t>
      </w:r>
      <w:r>
        <w:t xml:space="preserve">responses, typically resulting in less pronounced growth declines with increasing</w:t>
      </w:r>
      <w:r>
        <w:t xml:space="preserve"> </w:t>
      </w:r>
      <m:oMath>
        <m:r>
          <m:t>D</m:t>
        </m:r>
        <m:r>
          <m:t>B</m:t>
        </m:r>
        <m:r>
          <m:t>H</m:t>
        </m:r>
      </m:oMath>
      <w:r>
        <w:t xml:space="preserve"> </w:t>
      </w:r>
      <w:r>
        <w:t xml:space="preserve">(Figs. S18-S37).</w:t>
      </w:r>
    </w:p>
    <w:p>
      <w:pPr>
        <w:pStyle w:val="CaptionedFigure"/>
      </w:pPr>
      <w:r>
        <w:drawing>
          <wp:inline>
            <wp:extent cx="5943600" cy="5943600"/>
            <wp:effectExtent b="0" l="0" r="0" t="0"/>
            <wp:docPr descr="Figure 6 | Effect of year, when included in the best model, on BAI. For each species (color-coded as in Fig. 4), relationships are plotted if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6 | Effect of year, when included in the best model, on BAI.</w:t>
      </w:r>
      <w:r>
        <w:t xml:space="preserve"> </w:t>
      </w:r>
      <w:r>
        <w:t xml:space="preserve">For each species (color-coded as in Fig. 4), relationships are plotted if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p>
      <w:pPr>
        <w:pStyle w:val="Heading1"/>
      </w:pPr>
      <w:bookmarkStart w:id="44" w:name="Discussion"/>
      <w:r>
        <w:t xml:space="preserve">Discussion</w:t>
      </w:r>
      <w:bookmarkEnd w:id="44"/>
    </w:p>
    <w:p>
      <w:pPr>
        <w:pStyle w:val="FirstParagraph"/>
      </w:pPr>
      <w:r>
        <w:t xml:space="preserve">Our new tree-ring analysis method allows simultaneous consideration of the effects of dominant climate drivers, tree size, and slowly changing environmental conditions on annual growth (Fig. 1), yielding results that are consistent with those that would be obtained using conventional methods (Figs. 2, S11-S14; Table S5) while offering a fuller picture of the drivers of tree growth in an era of global change.</w:t>
      </w:r>
      <w:r>
        <w:t xml:space="preserve"> </w:t>
      </w:r>
      <w:r>
        <w:t xml:space="preserve">Below, we summarize how our results on the effects of climate, tree size, and year corroborate current understanding of the drivers of tree growth while yielding new insights made possible by the approach.</w:t>
      </w:r>
    </w:p>
    <w:p>
      <w:pPr>
        <w:pStyle w:val="Heading2"/>
      </w:pPr>
      <w:bookmarkStart w:id="45" w:name="Climate"/>
      <w:r>
        <w:t xml:space="preserve">Climate sensitivity</w:t>
      </w:r>
      <w:bookmarkEnd w:id="45"/>
    </w:p>
    <w:p>
      <w:pPr>
        <w:pStyle w:val="FirstParagraph"/>
      </w:pPr>
      <w:r>
        <w:t xml:space="preserve">Across diverse climates and forest types (Tables 1, S2), growth rates of 40 tree species generally responded positively to water availability (</w:t>
      </w:r>
      <m:oMath>
        <m:r>
          <m:t>P</m:t>
        </m:r>
        <m:r>
          <m:t>P</m:t>
        </m:r>
        <m:r>
          <m:t>T</m:t>
        </m:r>
      </m:oMath>
      <w:r>
        <w:t xml:space="preserve"> </w:t>
      </w:r>
      <w:r>
        <w:t xml:space="preserve">or</w:t>
      </w:r>
      <w:r>
        <w:t xml:space="preserve"> </w:t>
      </w:r>
      <m:oMath>
        <m:r>
          <m:t>P</m:t>
        </m:r>
        <m:r>
          <m:t>D</m:t>
        </m:r>
        <m:r>
          <m:t>F</m:t>
        </m:r>
      </m:oMath>
      <w:r>
        <w:t xml:space="preserve">)–at least up until the long-term mean–</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rPr>
          <w:i/>
        </w:rPr>
        <w:t xml:space="preserve">(Discuss how this fits with regional to global-scale studies)</w:t>
      </w:r>
      <w:r>
        <w:t xml:space="preserve"> </w:t>
      </w:r>
      <w:r>
        <w:t xml:space="preserve">(Martin-Benito &amp; Pederson, 2015)</w:t>
      </w:r>
      <w:r>
        <w:t xml:space="preserve"> </w:t>
      </w:r>
      <w:r>
        <w:t xml:space="preserve">Our findings are consistent with the global-scale analysis of</w:t>
      </w:r>
      <w:r>
        <w:t xml:space="preserve"> </w:t>
      </w:r>
      <w:r>
        <w:t xml:space="preserve">(Babst et al., 2019)</w:t>
      </w:r>
      <w:r>
        <w:t xml:space="preserve">, which shows that the majority of forests globally are moisture limited and respond negatively to temperature, with a shrinking area of temperature-limited forests in cold, humid regions (with SC falling near the transition zone).</w:t>
      </w:r>
      <w:r>
        <w:t xml:space="preserve"> </w:t>
      </w:r>
      <w:r>
        <w:t xml:space="preserve">Within warmer regions, forests in humid climates can benefit from warm winter or spring temperatures, as we show for all three species at ZOF and one of our species at HF.</w:t>
      </w:r>
      <w:r>
        <w:t xml:space="preserve"> </w:t>
      </w:r>
      <w:r>
        <w:rPr>
          <w:i/>
        </w:rPr>
        <w:t xml:space="preserve">However, the observed interactions between tree size and climate sensitivity, with larger trees tending to be more sensitive (), implies that this and other analyses based on the ITRDB likely exaggerate the climate sensitivity of whole-forest woody productivity.</w:t>
      </w:r>
    </w:p>
    <w:p>
      <w:pPr>
        <w:pStyle w:val="BodyText"/>
      </w:pPr>
      <w:r>
        <w:t xml:space="preserve">While our approach identifies similar climate sensitivities to those that would be identified using conventional methods (Figs. 2, S11-S14; Table S5), it differs in some substantive ways.</w:t>
      </w:r>
      <w:r>
        <w:t xml:space="preserve"> </w:t>
      </w:r>
      <w:r>
        <w:t xml:space="preserve">First, in determining the most important climate drivers (step 1; Fig. 1), we consider the full sample of individual cores, as opposed to a residual chronology in which variance has been standardized and the individual cores have been averaged.</w:t>
      </w:r>
      <w:r>
        <w:t xml:space="preserve"> </w:t>
      </w:r>
      <w:r>
        <w:t xml:space="preserve">Some differences in variables identified and the slope between growth and climate are to be expected giving the methodological differences (Appendix S4); however, as a whole the identified drivers and directions of response are consistent with conventional methods (2, S11-S14; Table S5).</w:t>
      </w:r>
      <w:r>
        <w:t xml:space="preserve"> </w:t>
      </w:r>
      <w:r>
        <w:t xml:space="preserve">Another way in which the current analysis differed from conventional methods is that we pooled species by site when determining the top climate drivers (step 1; Fig. 1).</w:t>
      </w:r>
      <w:r>
        <w:t xml:space="preserve"> </w:t>
      </w:r>
      <w:r>
        <w:t xml:space="preserve">This decision was motivated by the expectation that differences in optimal climate windows across species in one site would be minimal compared to cross-site differences (cf. Figs. 2, 3); however, analyses focused on interspecific differences could optimize species-specific climate sensitivity estimates by fitting</w:t>
      </w:r>
      <w:r>
        <w:t xml:space="preserve"> </w:t>
      </w:r>
      <w:r>
        <w:rPr>
          <w:i/>
        </w:rPr>
        <w:t xml:space="preserve">climwin</w:t>
      </w:r>
      <w:r>
        <w:t xml:space="preserve"> </w:t>
      </w:r>
      <w:r>
        <w:t xml:space="preserve">individually be species.</w:t>
      </w:r>
    </w:p>
    <w:p>
      <w:pPr>
        <w:pStyle w:val="BodyText"/>
      </w:pPr>
      <w:r>
        <w:t xml:space="preserve">Another way in which our analysis differed fundamentally from most conventional approaches was in testing for non-linear responses of growth to climate, finding that nonlinear responses were</w:t>
      </w:r>
      <w:r>
        <w:t xml:space="preserve"> </w:t>
      </w:r>
      <w:r>
        <w:rPr>
          <w:i/>
        </w:rPr>
        <w:t xml:space="preserve">common/ prevalent</w:t>
      </w:r>
      <w:r>
        <w:t xml:space="preserve">.</w:t>
      </w:r>
      <w:r>
        <w:t xml:space="preserve"> </w:t>
      </w:r>
      <w:r>
        <w:rPr>
          <w:i/>
        </w:rPr>
        <w:t xml:space="preserve">(DISCUSS)</w:t>
      </w:r>
    </w:p>
    <w:p>
      <w:pPr>
        <w:pStyle w:val="BodyText"/>
      </w:pPr>
      <w:r>
        <w:t xml:space="preserve">Finally, our analysis differed from conventional approaches in the use of GLS models to simultaneously quantify the effects of climate,</w:t>
      </w:r>
      <w:r>
        <w:t xml:space="preserve"> </w:t>
      </w:r>
      <m:oMath>
        <m:r>
          <m:t>D</m:t>
        </m:r>
        <m:r>
          <m:t>B</m:t>
        </m:r>
        <m:r>
          <m:t>H</m:t>
        </m:r>
      </m:oMath>
      <w:r>
        <w:t xml:space="preserve">, and year, while accounting for idiosyncratic growth trends of individual trees through an autocorrelation structure</w:t>
      </w:r>
      <w:r>
        <w:t xml:space="preserve"> </w:t>
      </w:r>
      <w:r>
        <w:t xml:space="preserve">(step 2; Fig. 1; see also Evans et al., 2017; Rollinson et al., n.d.)</w:t>
      </w:r>
      <w:r>
        <w:t xml:space="preserve">.</w:t>
      </w:r>
      <w:r>
        <w:t xml:space="preserve"> </w:t>
      </w:r>
      <w:r>
        <w:t xml:space="preserve">This approach allowed the consideration of additive and interactive effects of climate with variables that change over longer time frames–here,</w:t>
      </w:r>
      <w:r>
        <w:t xml:space="preserve"> </w:t>
      </w:r>
      <m:oMath>
        <m:r>
          <m:t>D</m:t>
        </m:r>
        <m:r>
          <m:t>B</m:t>
        </m:r>
        <m:r>
          <m:t>H</m:t>
        </m:r>
      </m:oMath>
      <w:r>
        <w:t xml:space="preserve"> </w:t>
      </w:r>
      <w:r>
        <w:t xml:space="preserve">and year, although other slowly-changing drivers could also be used.</w:t>
      </w:r>
      <w:r>
        <w:t xml:space="preserve"> </w:t>
      </w:r>
      <w:r>
        <w:t xml:space="preserve">We found that interactions between climate variables and</w:t>
      </w:r>
      <w:r>
        <w:t xml:space="preserve"> </w:t>
      </w:r>
      <m:oMath>
        <m:r>
          <m:t>D</m:t>
        </m:r>
        <m:r>
          <m:t>B</m:t>
        </m:r>
        <m:r>
          <m:t>H</m:t>
        </m:r>
      </m:oMath>
      <w:r>
        <w:t xml:space="preserve"> </w:t>
      </w:r>
      <w:r>
        <w:t xml:space="preserve">were common (43%; Figs. 5, S39, S40).</w:t>
      </w:r>
      <w:r>
        <w:t xml:space="preserve"> </w:t>
      </w:r>
      <w:r>
        <w:t xml:space="preserve">The most coherent pattern observed in this analysis was a tendency for larger trees to be more sensitive to precipitation and high temperatures (Fig. 5), consistent with widespread observations that larger trees are more sensitive to drought</w:t>
      </w:r>
      <w:r>
        <w:t xml:space="preserve"> </w:t>
      </w:r>
      <w:r>
        <w:t xml:space="preserve">(REFS; Bennett et al., 2015; Gillerot et al., 2020; Hacket-Pain et al., 2016; McGregor et al., 2020; Pretzsch et al., 2018)</w:t>
      </w:r>
      <w:r>
        <w:t xml:space="preserve">.</w:t>
      </w:r>
      <w:r>
        <w:t xml:space="preserve"> </w:t>
      </w:r>
      <w:r>
        <w:t xml:space="preserve">An analytical structure that can account for this and other such DBH-climate interactions</w:t>
      </w:r>
      <w:r>
        <w:t xml:space="preserve"> </w:t>
      </w:r>
      <w:r>
        <w:t xml:space="preserve">(e.g., Rossi et al., 2007; Rollinson et al., n.d.)</w:t>
      </w:r>
      <w:r>
        <w:t xml:space="preserve"> </w:t>
      </w:r>
      <w:r>
        <w:t xml:space="preserve">will be critical to using tree-ring records to understand and forecast the effects of climate on tree growth and forest productivity.</w:t>
      </w:r>
      <w:r>
        <w:t xml:space="preserve"> </w:t>
      </w:r>
      <w:r>
        <w:t xml:space="preserve">We note that a modification of our analysis method (modeling</w:t>
      </w:r>
      <w:r>
        <w:t xml:space="preserve"> </w:t>
      </w:r>
      <m:oMath>
        <m:r>
          <m:t>y</m:t>
        </m:r>
        <m:r>
          <m:t>e</m:t>
        </m:r>
        <m:r>
          <m:t>a</m:t>
        </m:r>
        <m:r>
          <m:t>r</m:t>
        </m:r>
        <m:r>
          <m:t>×</m:t>
        </m:r>
      </m:oMath>
      <w:r>
        <w:t xml:space="preserve"> </w:t>
      </w:r>
      <w:r>
        <w:t xml:space="preserve">climate interactions instead of</w:t>
      </w:r>
      <w:r>
        <w:t xml:space="preserve"> </w:t>
      </w:r>
      <m:oMath>
        <m:r>
          <m:t>c</m:t>
        </m:r>
        <m:r>
          <m:t>l</m:t>
        </m:r>
        <m:r>
          <m:t>i</m:t>
        </m:r>
        <m:r>
          <m:t>m</m:t>
        </m:r>
        <m:r>
          <m:t>a</m:t>
        </m:r>
        <m:r>
          <m:t>t</m:t>
        </m:r>
        <m:r>
          <m:t>e</m:t>
        </m:r>
        <m:r>
          <m:t>×</m:t>
        </m:r>
      </m:oMath>
      <w:r>
        <w:t xml:space="preserve"> </w:t>
      </w:r>
      <w:r>
        <w:t xml:space="preserve">climate interactions) could potentially be used to account for directional changes in climate sensitivity, which have commonly been observed</w:t>
      </w:r>
      <w:r>
        <w:t xml:space="preserve"> </w:t>
      </w:r>
      <w:r>
        <w:t xml:space="preserve">(REFS- Maxwell, Helcoski; Peltier &amp; Ogle, 2020; Zuidema et al., 2020)</w:t>
      </w:r>
      <w:r>
        <w:t xml:space="preserve">.</w:t>
      </w:r>
    </w:p>
    <w:p>
      <w:pPr>
        <w:pStyle w:val="Heading2"/>
      </w:pPr>
      <w:bookmarkStart w:id="46" w:name="Variation"/>
      <w:r>
        <w:t xml:space="preserve">Variation with</w:t>
      </w:r>
      <w:r>
        <w:t xml:space="preserve"> </w:t>
      </w:r>
      <m:oMath>
        <m:r>
          <m:t>D</m:t>
        </m:r>
        <m:r>
          <m:t>B</m:t>
        </m:r>
        <m:r>
          <m:t>H</m:t>
        </m:r>
      </m:oMath>
      <w:bookmarkEnd w:id="46"/>
    </w:p>
    <w:p>
      <w:pPr>
        <w:pStyle w:val="FirstParagraph"/>
      </w:pPr>
      <w:r>
        <w:t xml:space="preserve">Growth rate–whether measured as</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varied nonlinearly with</w:t>
      </w:r>
      <w:r>
        <w:t xml:space="preserve"> </w:t>
      </w:r>
      <m:oMath>
        <m:r>
          <m:t>D</m:t>
        </m:r>
        <m:r>
          <m:t>B</m:t>
        </m:r>
        <m:r>
          <m:t>H</m:t>
        </m:r>
      </m:oMath>
      <w:r>
        <w:t xml:space="preserve"> </w:t>
      </w:r>
      <w:r>
        <w:t xml:space="preserve">for the vast majority of site-species combinations (81 - 98% depending on growth metric; Fig. 4).</w:t>
      </w:r>
      <w:r>
        <w:t xml:space="preserve"> </w:t>
      </w:r>
      <w:r>
        <w:t xml:space="preserve">Variation in these patterns–particularly for</w:t>
      </w:r>
      <w:r>
        <w:t xml:space="preserve"> </w:t>
      </w:r>
      <m:oMath>
        <m:r>
          <m:t>R</m:t>
        </m:r>
        <m:r>
          <m:t>W</m:t>
        </m:r>
      </m:oMath>
      <w:r>
        <w:t xml:space="preserve">, for which variation was most pronounced–was driven by two primary, interrelated factors: species ecology and stand history.</w:t>
      </w:r>
      <w:r>
        <w:t xml:space="preserve"> </w:t>
      </w:r>
      <w:r>
        <w:t xml:space="preserve">Species that would have established in fairly open conditions–</w:t>
      </w:r>
      <w:r>
        <w:rPr>
          <w:i/>
        </w:rPr>
        <w:t xml:space="preserve">i.e.</w:t>
      </w:r>
      <w:r>
        <w:t xml:space="preserve">, shade-intolerant species (Table S2) and those at sites with more open canopies (e.g., LT, SC)– exhibited rapid initial growth, measured as</w:t>
      </w:r>
      <w:r>
        <w:t xml:space="preserve"> </w:t>
      </w:r>
      <m:oMath>
        <m:r>
          <m:t>R</m:t>
        </m:r>
        <m:r>
          <m:t>W</m:t>
        </m:r>
      </m:oMath>
      <w:r>
        <w:t xml:space="preserve">, followed by a roughly exponential decline.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of studies primarily based on trees that established in high-light environments</w:t>
      </w:r>
      <w:r>
        <w:t xml:space="preserve"> </w:t>
      </w:r>
      <w:r>
        <w:t xml:space="preserve">(Biondi &amp; Qeadan, 2008; Fritts, 1976)</w:t>
      </w:r>
      <w:r>
        <w:t xml:space="preserve">.</w:t>
      </w:r>
      <w:r>
        <w:t xml:space="preserve"> </w:t>
      </w:r>
      <w:r>
        <w:t xml:space="preserve">However, within the forest settings studied here, the majority of species exhibited initially low, but increasing,</w:t>
      </w:r>
      <w:r>
        <w:t xml:space="preserve"> </w:t>
      </w:r>
      <m:oMath>
        <m:r>
          <m:t>R</m:t>
        </m:r>
        <m:r>
          <m:t>W</m:t>
        </m:r>
      </m:oMath>
      <w:r>
        <w:t xml:space="preserve">.</w:t>
      </w:r>
      <w:r>
        <w:t xml:space="preserve"> </w:t>
      </w:r>
      <w:r>
        <w:t xml:space="preserve">This latter pattern is consistent with the observation that when contemporary growth rates are compared across individuals within a stand (</w:t>
      </w:r>
      <w:r>
        <w:rPr>
          <w:i/>
        </w:rPr>
        <w:t xml:space="preserve">i.e.</w:t>
      </w:r>
      <w:r>
        <w:t xml:space="preserve">, a</w:t>
      </w:r>
      <w:r>
        <w:t xml:space="preserve"> </w:t>
      </w:r>
      <w:r>
        <w:t xml:space="preserve">“</w:t>
      </w:r>
      <w:r>
        <w:t xml:space="preserve">cross-sectional</w:t>
      </w:r>
      <w:r>
        <w:t xml:space="preserve">”</w:t>
      </w:r>
      <w:r>
        <w:t xml:space="preserve"> </w:t>
      </w:r>
      <w:r>
        <w:t xml:space="preserve">analysis),</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(e.g., Muller-Landau et al., 2006; Anderson-Teixeira, McGarvey, et al., 2015; Helcoski et al., 2019)</w:t>
      </w:r>
      <w:r>
        <w:t xml:space="preserve">, or increases and subsequently decreases</w:t>
      </w:r>
      <w:r>
        <w:t xml:space="preserve"> </w:t>
      </w:r>
      <w:r>
        <w:t xml:space="preserve">(Schelhaas et al., 2018)</w:t>
      </w:r>
      <w:r>
        <w:t xml:space="preserve">.</w:t>
      </w:r>
    </w:p>
    <w:p>
      <w:pPr>
        <w:pStyle w:val="BodyText"/>
      </w:pPr>
      <w:r>
        <w:t xml:space="preserve">We found evidence of saturation or decline in the majority (77%) of species-site combinations analyzed (Fig. 4), contrasting with findings of cross-sectional analyses showing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t>
      </w:r>
      <w:r>
        <w:t xml:space="preserve">(Meakem et al., 2018; Stephenson et al., 2014)</w:t>
      </w:r>
      <w:r>
        <w:t xml:space="preserve">, which has also been observed in tree-rings</w:t>
      </w:r>
      <w:r>
        <w:t xml:space="preserve"> </w:t>
      </w:r>
      <w:r>
        <w:t xml:space="preserve">(Foster et al., 2016)</w:t>
      </w:r>
      <w:r>
        <w:t xml:space="preserve">.</w:t>
      </w:r>
      <w:r>
        <w:t xml:space="preserve"> </w:t>
      </w:r>
      <w:r>
        <w:t xml:space="preserve">In large part, this discrepancy can be explained by differences between cross-sectional analyses and</w:t>
      </w:r>
      <w:r>
        <w:t xml:space="preserve"> </w:t>
      </w:r>
      <w:r>
        <w:t xml:space="preserve">“</w:t>
      </w:r>
      <w:r>
        <w:t xml:space="preserve">longitudinal</w:t>
      </w:r>
      <w:r>
        <w:t xml:space="preserve">”</w:t>
      </w:r>
      <w:r>
        <w:t xml:space="preserve"> </w:t>
      </w:r>
      <w:r>
        <w:t xml:space="preserve">patterns of individual trees through time</w:t>
      </w:r>
      <w:r>
        <w:t xml:space="preserve"> </w:t>
      </w:r>
      <w:r>
        <w:t xml:space="preserve">(Forrester, 2021; Sheil et al., 2017)</w:t>
      </w:r>
      <w:r>
        <w:t xml:space="preserve">.</w:t>
      </w:r>
      <w:r>
        <w:t xml:space="preserve"> </w:t>
      </w:r>
      <w:r>
        <w:t xml:space="preserve">Declines in</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at larger</w:t>
      </w:r>
      <w:r>
        <w:t xml:space="preserve"> </w:t>
      </w:r>
      <m:oMath>
        <m:r>
          <m:t>D</m:t>
        </m:r>
        <m:r>
          <m:t>B</m:t>
        </m:r>
        <m:r>
          <m:t>H</m:t>
        </m:r>
      </m:oMath>
      <w:r>
        <w:t xml:space="preserve"> </w:t>
      </w:r>
      <w:r>
        <w:t xml:space="preserve">are probably in part attributable to increasing allocation to reproduction</w:t>
      </w:r>
      <w:r>
        <w:t xml:space="preserve"> </w:t>
      </w:r>
      <w:r>
        <w:t xml:space="preserve">(Thomas, 2011)</w:t>
      </w:r>
      <w:r>
        <w:t xml:space="preserve">, and are also linked to slowly changing environmental conditions (e.g., successional changes in stand structure, climate change; discussed below).</w:t>
      </w:r>
      <w:r>
        <w:t xml:space="preserve"> </w:t>
      </w:r>
      <w:r>
        <w:t xml:space="preserve">Notably, inclusion of year in the GLS models tended to reduce the magnitude of</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declines at larger</w:t>
      </w:r>
      <w:r>
        <w:t xml:space="preserve"> </w:t>
      </w:r>
      <m:oMath>
        <m:r>
          <m:t>D</m:t>
        </m:r>
        <m:r>
          <m:t>B</m:t>
        </m:r>
        <m:r>
          <m:t>H</m:t>
        </m:r>
      </m:oMath>
      <w:r>
        <w:t xml:space="preserve"> </w:t>
      </w:r>
      <w:r>
        <w:t xml:space="preserve">(Figs. S18-S37), suggesting that some of such declines in Figure 4 are more properly attributed to the effect of year than that of</w:t>
      </w:r>
      <w:r>
        <w:t xml:space="preserve"> </w:t>
      </w:r>
      <m:oMath>
        <m:r>
          <m:t>D</m:t>
        </m:r>
        <m:r>
          <m:t>B</m:t>
        </m:r>
        <m:r>
          <m:t>H</m:t>
        </m:r>
      </m:oMath>
      <w:r>
        <w:t xml:space="preserve">.</w:t>
      </w:r>
    </w:p>
    <w:p>
      <w:pPr>
        <w:pStyle w:val="Heading2"/>
      </w:pPr>
      <w:bookmarkStart w:id="47" w:name="Changing"/>
      <w:r>
        <w:t xml:space="preserve">Changing growth rates</w:t>
      </w:r>
      <w:bookmarkEnd w:id="47"/>
    </w:p>
    <w:p>
      <w:pPr>
        <w:pStyle w:val="FirstParagraph"/>
      </w:pPr>
      <w:r>
        <w:t xml:space="preserve">Growth rates changed directionally for the majority (73-78%, depending on growth metric) of site-species combinations selected for analysis based on the sampling representation of</w:t>
      </w:r>
      <w:r>
        <w:t xml:space="preserve"> </w:t>
      </w:r>
      <m:oMath>
        <m:r>
          <m:t>D</m:t>
        </m:r>
        <m:r>
          <m:t>B</m:t>
        </m:r>
        <m:r>
          <m:t>H</m:t>
        </m:r>
      </m:oMath>
      <w:r>
        <w:t xml:space="preserve"> </w:t>
      </w:r>
      <w:r>
        <w:t xml:space="preserve">by</w:t>
      </w:r>
      <w:r>
        <w:t xml:space="preserve"> </w:t>
      </w:r>
      <m:oMath>
        <m:r>
          <m:t>y</m:t>
        </m:r>
        <m:r>
          <m:t>e</m:t>
        </m:r>
        <m:r>
          <m:t>a</m:t>
        </m:r>
        <m:r>
          <m:t>r</m:t>
        </m:r>
      </m:oMath>
      <w:r>
        <w:t xml:space="preserve"> </w:t>
      </w:r>
      <w:r>
        <w:t xml:space="preserve">(Fig. 6).</w:t>
      </w:r>
      <w:r>
        <w:t xml:space="preserve"> </w:t>
      </w:r>
      <w:r>
        <w:t xml:space="preserve">These results were similar across growth metrics (Figs. S18-S37), and consistent with an independent analysis of growth-</w:t>
      </w:r>
      <m:oMath>
        <m:r>
          <m:t>D</m:t>
        </m:r>
        <m:r>
          <m:t>B</m:t>
        </m:r>
        <m:r>
          <m:t>H</m:t>
        </m:r>
      </m:oMath>
      <w:r>
        <w:t xml:space="preserve"> </w:t>
      </w:r>
      <w:r>
        <w:t xml:space="preserve">trends by decade (Figs. 6, S41-S50), indicating that our approach is robust in its analytical structure.</w:t>
      </w:r>
      <w:r>
        <w:t xml:space="preserve"> </w:t>
      </w:r>
      <w:r>
        <w:t xml:space="preserve">Indeed, in a comparative analysis of several methods commonly used to detect growth trends, approaches similar to that employed here (regional curve standardization) performed better at growth trend detection</w:t>
      </w:r>
      <w:r>
        <w:t xml:space="preserve"> </w:t>
      </w:r>
      <w:r>
        <w:t xml:space="preserve">(Peters et al., 2015)</w:t>
      </w:r>
      <w:r>
        <w:t xml:space="preserve"> </w:t>
      </w:r>
      <w:r>
        <w:t xml:space="preserve">than two of the most commonly used methods for analyzing growth trends, conservative detrending and basal area correction</w:t>
      </w:r>
      <w:r>
        <w:t xml:space="preserve"> </w:t>
      </w:r>
      <w:r>
        <w:t xml:space="preserve">(see Peters et al., 2015)</w:t>
      </w:r>
      <w:r>
        <w:t xml:space="preserve">, both of which would fail to capture 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w:t>
      </w:r>
      <w:r>
        <w:t xml:space="preserve"> </w:t>
      </w:r>
      <w:r>
        <w:t xml:space="preserve">For instance, based on our finding that</w:t>
      </w:r>
      <w:r>
        <w:t xml:space="preserve"> </w:t>
      </w:r>
      <m:oMath>
        <m:r>
          <m:t>B</m:t>
        </m:r>
        <m:r>
          <m:t>A</m:t>
        </m:r>
        <m:r>
          <m:t>I</m:t>
        </m:r>
      </m:oMath>
      <w:r>
        <w:t xml:space="preserve"> </w:t>
      </w:r>
      <w:r>
        <w:t xml:space="preserve">tends to rise and fall with</w:t>
      </w:r>
      <w:r>
        <w:t xml:space="preserve"> </w:t>
      </w:r>
      <m:oMath>
        <m:r>
          <m:t>D</m:t>
        </m:r>
        <m:r>
          <m:t>B</m:t>
        </m:r>
        <m:r>
          <m:t>H</m:t>
        </m:r>
      </m:oMath>
      <w:r>
        <w:t xml:space="preserve">, basal area correction would generally be biased towards finding positive trends for smaller trees and negative trends for larger trees.</w:t>
      </w:r>
      <w:r>
        <w:t xml:space="preserve"> </w:t>
      </w:r>
      <w:r>
        <w:t xml:space="preserve">However, our results remain subject to the influence of some potential sampling and survivorship biases that can influence overall trends in positive or negative directions</w:t>
      </w:r>
      <w:r>
        <w:t xml:space="preserve"> </w:t>
      </w:r>
      <w:r>
        <w:t xml:space="preserve">(Fig. 6; Brienen et al., 2012, 2017; Nehrbass-Ahles et al., 2014)</w:t>
      </w:r>
      <w:r>
        <w:t xml:space="preserve">.</w:t>
      </w:r>
      <w:r>
        <w:t xml:space="preserve"> </w:t>
      </w:r>
      <w:r>
        <w:t xml:space="preserve">While we have made efforts to control for the most severe potential biases (see Methods), and while the statistical model applied here in theory accounts for persistent growth differences among trees through a random effect of tree, some potential biases are difficult, if not impossible, to control for</w:t>
      </w:r>
      <w:r>
        <w:t xml:space="preserve"> </w:t>
      </w:r>
      <w:r>
        <w:t xml:space="preserve">(Brienen et al., 2017, 2012)</w:t>
      </w:r>
      <w:r>
        <w:t xml:space="preserve">.</w:t>
      </w:r>
      <w:r>
        <w:t xml:space="preserve"> </w:t>
      </w:r>
      <w:r>
        <w:t xml:space="preserve">The observed trends must therefore be interpreted with caution, and in light of the fact that growth trends inferred from tree rings are strongly tied to tree demography</w:t>
      </w:r>
      <w:r>
        <w:t xml:space="preserve"> </w:t>
      </w:r>
      <w:r>
        <w:t xml:space="preserve">(Brienen et al., 2017)</w:t>
      </w:r>
      <w:r>
        <w:t xml:space="preserve">.</w:t>
      </w:r>
      <w:r>
        <w:t xml:space="preserve"> </w:t>
      </w:r>
      <w:r>
        <w:t xml:space="preserve">To the extent that sampling and survivorship biases are minimal, signals of changing growth rate over time are attributable to some combination of stand dynamics (e.g., recruitment and succession, changing stand structure) and environmental drivers (e.g., climate drivers other than those selected by</w:t>
      </w:r>
      <w:r>
        <w:t xml:space="preserve"> </w:t>
      </w:r>
      <w:r>
        <w:rPr>
          <w:i/>
        </w:rPr>
        <w:t xml:space="preserve">climwin</w:t>
      </w:r>
      <w:r>
        <w:t xml:space="preserve">; atmospheric CO</w:t>
      </w:r>
      <w:r>
        <w:rPr>
          <w:vertAlign w:val="subscript"/>
        </w:rPr>
        <w:t xml:space="preserve">2</w:t>
      </w:r>
      <w:r>
        <w:t xml:space="preserve">; deposition of sulfur dioxide, SO</w:t>
      </w:r>
      <w:r>
        <w:rPr>
          <w:vertAlign w:val="subscript"/>
        </w:rPr>
        <w:t xml:space="preserve">2</w:t>
      </w:r>
      <w:r>
        <w:t xml:space="preserve">, and nitrogen oxides, NO</w:t>
      </w:r>
      <w:r>
        <w:rPr>
          <w:vertAlign w:val="subscript"/>
        </w:rPr>
        <w:t xml:space="preserve">x</w:t>
      </w:r>
      <w:r>
        <w:t xml:space="preserve">).</w:t>
      </w:r>
    </w:p>
    <w:p>
      <w:pPr>
        <w:pStyle w:val="BodyText"/>
      </w:pPr>
      <w:r>
        <w:t xml:space="preserve">The majority of negative growth trends observed here (Fig. 6) are probably attributable to successional stand dynamics as cohorts and stands age.</w:t>
      </w:r>
      <w:r>
        <w:t xml:space="preserve"> </w:t>
      </w:r>
      <w:r>
        <w:t xml:space="preserve">For species exhibiting a pulse of recruitment in the past followed by little subsequent recruitment (e.g.,</w:t>
      </w:r>
      <w:r>
        <w:t xml:space="preserve"> </w:t>
      </w:r>
      <w:r>
        <w:rPr>
          <w:i/>
        </w:rPr>
        <w:t xml:space="preserve">Acer rubrum</w:t>
      </w:r>
      <w:r>
        <w:t xml:space="preserve"> </w:t>
      </w:r>
      <w:r>
        <w:t xml:space="preserve">and</w:t>
      </w:r>
      <w:r>
        <w:t xml:space="preserve"> </w:t>
      </w:r>
      <w:r>
        <w:rPr>
          <w:i/>
        </w:rPr>
        <w:t xml:space="preserve">Betula alleghaniensis</w:t>
      </w:r>
      <w:r>
        <w:t xml:space="preserve"> </w:t>
      </w:r>
      <w:r>
        <w:t xml:space="preserve">at HF; Figs. S1-S10), persistent differences in growth rates among individuals would naturally lead to a trend of declining growth, as faster-growing individuals reach various size thresholds earlier</w:t>
      </w:r>
      <w:r>
        <w:t xml:space="preserve"> </w:t>
      </w:r>
      <w:r>
        <w:t xml:space="preserve">(Brienen et al., 2017)</w:t>
      </w:r>
      <w:r>
        <w:t xml:space="preserve">.</w:t>
      </w:r>
      <w:r>
        <w:t xml:space="preserve"> </w:t>
      </w:r>
      <w:r>
        <w:t xml:space="preserve">Such a trend is not indicative of a directional response to changing environmental conditions that would be generalizable across stands (e.g., rising atmospheric CO</w:t>
      </w:r>
      <w:r>
        <w:rPr>
          <w:vertAlign w:val="subscript"/>
        </w:rPr>
        <w:t xml:space="preserve">2</w:t>
      </w:r>
      <w:r>
        <w:t xml:space="preserve">), but it does indicate declining growth of the species within the stand.</w:t>
      </w:r>
      <w:r>
        <w:t xml:space="preserve"> </w:t>
      </w:r>
      <w:r>
        <w:t xml:space="preserve">This can occur, for example, when a light-demanding species is no longer recruiting under a closed canopy (e.g.,</w:t>
      </w:r>
      <w:r>
        <w:t xml:space="preserve"> </w:t>
      </w:r>
      <w:r>
        <w:rPr>
          <w:i/>
        </w:rPr>
        <w:t xml:space="preserve">Quercus</w:t>
      </w:r>
      <w:r>
        <w:t xml:space="preserve"> </w:t>
      </w:r>
      <w:r>
        <w:t xml:space="preserve">spp. at SCBI), such that fast-growing individuals disappear from progressively larger</w:t>
      </w:r>
      <w:r>
        <w:t xml:space="preserve"> </w:t>
      </w:r>
      <m:oMath>
        <m:r>
          <m:t>D</m:t>
        </m:r>
        <m:r>
          <m:t>B</m:t>
        </m:r>
        <m:r>
          <m:t>H</m:t>
        </m:r>
      </m:oMath>
      <w:r>
        <w:t xml:space="preserve"> </w:t>
      </w:r>
      <w:r>
        <w:t xml:space="preserve">classes as time proceeds.</w:t>
      </w:r>
      <w:r>
        <w:t xml:space="preserve"> </w:t>
      </w:r>
      <w:r>
        <w:t xml:space="preserve">In secondary stands, particularly those where the majority of trees established at a similar time (</w:t>
      </w:r>
      <w:r>
        <w:rPr>
          <w:b/>
        </w:rPr>
        <w:t xml:space="preserve">SCBI, HF,…</w:t>
      </w:r>
      <w:r>
        <w:t xml:space="preserve">; Appendix S1, Figs. S1-S10), growth declines are consistent with the tendency for faster tree growth during early succession (</w:t>
      </w:r>
      <w:r>
        <w:rPr>
          <w:b/>
        </w:rPr>
        <w:t xml:space="preserve">REFS</w:t>
      </w:r>
      <w:r>
        <w:t xml:space="preserve">), and with increasing competition and declining woody productivity as young stands mature</w:t>
      </w:r>
      <w:r>
        <w:t xml:space="preserve"> </w:t>
      </w:r>
      <w:r>
        <w:t xml:space="preserve">(e.g., Pregitzer &amp; Euskirchen, 2004; Goulden et al., 2011)</w:t>
      </w:r>
      <w:r>
        <w:t xml:space="preserve">.</w:t>
      </w:r>
      <w:r>
        <w:t xml:space="preserve"> </w:t>
      </w:r>
      <w:r>
        <w:t xml:space="preserve">Even within older forests, light-demanding species that establish in gaps (e.g.,</w:t>
      </w:r>
      <w:r>
        <w:t xml:space="preserve"> </w:t>
      </w:r>
      <w:r>
        <w:rPr>
          <w:i/>
        </w:rPr>
        <w:t xml:space="preserve">Jacaranda copaia</w:t>
      </w:r>
      <w:r>
        <w:t xml:space="preserve"> </w:t>
      </w:r>
      <w:r>
        <w:t xml:space="preserve">at BCNM,</w:t>
      </w:r>
      <w:r>
        <w:t xml:space="preserve"> </w:t>
      </w:r>
      <w:r>
        <w:rPr>
          <w:i/>
        </w:rPr>
        <w:t xml:space="preserve">Populus tremuloides</w:t>
      </w:r>
      <w:r>
        <w:t xml:space="preserve"> </w:t>
      </w:r>
      <w:r>
        <w:t xml:space="preserve">at CB; Table S2) would tend to experience an increasingly competitive environment through time.</w:t>
      </w:r>
      <w:r>
        <w:t xml:space="preserve"> </w:t>
      </w:r>
      <w:r>
        <w:t xml:space="preserve">For more shade-tolerant species in stands with no known major disturbance within the past 1.5 centuries (</w:t>
      </w:r>
      <w:r>
        <w:rPr>
          <w:b/>
        </w:rPr>
        <w:t xml:space="preserve">ZOF, LT, CB</w:t>
      </w:r>
      <w:r>
        <w:t xml:space="preserve">), trends would represent more gradual successional changes or responses to global change.</w:t>
      </w:r>
      <w:r>
        <w:t xml:space="preserve"> </w:t>
      </w:r>
      <w:r>
        <w:t xml:space="preserve">At Cedar Breaks, which has tree-ring records dating back to 0 AD (Cooper &amp; Lutz, unpublished data), mixed growth trends probably reflect later successional changes in a mixed-disturbance forest and/or shifting competitive advantages, perhaps in part driven by changing environmental conditions.</w:t>
      </w:r>
    </w:p>
    <w:p>
      <w:pPr>
        <w:pStyle w:val="BodyText"/>
      </w:pPr>
      <w:r>
        <w:t xml:space="preserve">In a few instances, directional changes in growth are probably attributable to abiotic drivers.</w:t>
      </w:r>
      <w:r>
        <w:t xml:space="preserve"> </w:t>
      </w:r>
      <w:r>
        <w:t xml:space="preserve">In the Czech Republic (ZOF), acid deposition dramatically reduced growth in</w:t>
      </w:r>
      <w:r>
        <w:t xml:space="preserve"> </w:t>
      </w:r>
      <w:r>
        <w:rPr>
          <w:i/>
        </w:rPr>
        <w:t xml:space="preserve">(DECADES)</w:t>
      </w:r>
      <w:r>
        <w:t xml:space="preserve"> </w:t>
      </w:r>
      <w:r>
        <w:t xml:space="preserve">[</w:t>
      </w:r>
      <w:r>
        <w:rPr>
          <w:b/>
        </w:rPr>
        <w:t xml:space="preserve">REFS</w:t>
      </w:r>
      <w:r>
        <w:t xml:space="preserve">], as captured in our records (Fig. S46), and</w:t>
      </w:r>
      <w:r>
        <w:t xml:space="preserve"> </w:t>
      </w:r>
      <w:r>
        <w:rPr>
          <w:i/>
        </w:rPr>
        <w:t xml:space="preserve">this influenced linear growth trends of different species in differently within the GLS model</w:t>
      </w:r>
      <w:r>
        <w:t xml:space="preserve">.</w:t>
      </w:r>
      <w:r>
        <w:t xml:space="preserve"> </w:t>
      </w:r>
      <w:r>
        <w:t xml:space="preserve">In cases such as this, a non-linear response function to</w:t>
      </w:r>
      <w:r>
        <w:t xml:space="preserve"> </w:t>
      </w:r>
      <m:oMath>
        <m:r>
          <m:t>y</m:t>
        </m:r>
        <m:r>
          <m:t>e</m:t>
        </m:r>
        <m:r>
          <m:t>a</m:t>
        </m:r>
        <m:r>
          <m:t>r</m:t>
        </m:r>
      </m:oMath>
      <w:r>
        <w:t xml:space="preserve">, or incorporation of data on pollution, would be needed to accurately characterize changing growth trends, but that is beyond the scope of the current analysis.</w:t>
      </w:r>
      <w:r>
        <w:t xml:space="preserve"> </w:t>
      </w:r>
      <w:r>
        <w:t xml:space="preserve">In New Mexico (LT), where growth rates of</w:t>
      </w:r>
      <w:r>
        <w:t xml:space="preserve"> </w:t>
      </w:r>
      <w:r>
        <w:rPr>
          <w:i/>
        </w:rPr>
        <w:t xml:space="preserve">Pinus Ponderosa</w:t>
      </w:r>
      <w:r>
        <w:t xml:space="preserve"> </w:t>
      </w:r>
      <w:r>
        <w:t xml:space="preserve">declined despite a big-tree sampling bias,</w:t>
      </w:r>
      <w:r>
        <w:t xml:space="preserve"> </w:t>
      </w:r>
      <w:r>
        <w:rPr>
          <w:i/>
        </w:rPr>
        <w:t xml:space="preserve">we suspect that a strong drying trend is not fully captured by the dominant climate drivers (?).</w:t>
      </w:r>
      <w:r>
        <w:t xml:space="preserve"> </w:t>
      </w:r>
      <w:r>
        <w:t xml:space="preserve">At Scotty Creek, where rapid warming and melting permafrost are altering hydraulic conditions, resulting in high mortality, growth declines, and low recruitment of</w:t>
      </w:r>
      <w:r>
        <w:t xml:space="preserve"> </w:t>
      </w:r>
      <w:r>
        <w:rPr>
          <w:i/>
        </w:rPr>
        <w:t xml:space="preserve">Picea mariana</w:t>
      </w:r>
      <w:r>
        <w:t xml:space="preserve"> </w:t>
      </w:r>
      <w:r>
        <w:t xml:space="preserve">(Dearborn et al., 2020; Sniderhan &amp; Baltzer, 2016)</w:t>
      </w:r>
      <w:r>
        <w:t xml:space="preserve">, we attribute pronounced negative growth trends to a combination of successional declines and climatic stress.</w:t>
      </w:r>
    </w:p>
    <w:p>
      <w:pPr>
        <w:pStyle w:val="BodyText"/>
      </w:pPr>
      <w:r>
        <w:t xml:space="preserve">There is a notable lack of evidence that growth rates of any species benefited substantially from increasing CO</w:t>
      </w:r>
      <w:r>
        <w:rPr>
          <w:vertAlign w:val="subscript"/>
        </w:rPr>
        <w:t xml:space="preserve">2</w:t>
      </w:r>
      <w:r>
        <w:t xml:space="preserve">, corroborating previous analyses from HKK</w:t>
      </w:r>
      <w:r>
        <w:t xml:space="preserve"> </w:t>
      </w:r>
      <w:r>
        <w:t xml:space="preserve">(Groenendijk et al., 2015, but see</w:t>
      </w:r>
      <w:r>
        <w:t xml:space="preserve"> </w:t>
      </w:r>
      <w:r>
        <w:t xml:space="preserve">@brienen_tree_2017</w:t>
      </w:r>
      <w:r>
        <w:t xml:space="preserve">; Nock et al., 2011; van der Sleen et al., 2015)</w:t>
      </w:r>
      <w:r>
        <w:t xml:space="preserve"> </w:t>
      </w:r>
      <w:r>
        <w:t xml:space="preserve">and other sites around the world (</w:t>
      </w:r>
      <w:r>
        <w:rPr>
          <w:b/>
        </w:rPr>
        <w:t xml:space="preserve">REFS</w:t>
      </w:r>
      <w:r>
        <w:t xml:space="preserve">).</w:t>
      </w:r>
      <w:r>
        <w:t xml:space="preserve"> </w:t>
      </w:r>
      <w:r>
        <w:t xml:space="preserve">With a few potential exceptions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Fig. 6), any growth benefit from elevated CO</w:t>
      </w:r>
      <w:r>
        <w:rPr>
          <w:vertAlign w:val="subscript"/>
        </w:rPr>
        <w:t xml:space="preserve">2</w:t>
      </w:r>
      <w:r>
        <w:t xml:space="preserve"> </w:t>
      </w:r>
      <w:r>
        <w:t xml:space="preserve">was outweighed by some combination of demographic or successional changes and chronic environmental shifts.</w:t>
      </w:r>
      <w:r>
        <w:t xml:space="preserve"> </w:t>
      </w:r>
      <w:r>
        <w:t xml:space="preserve">A growth benefit of CO</w:t>
      </w:r>
      <w:r>
        <w:rPr>
          <w:vertAlign w:val="subscript"/>
        </w:rPr>
        <w:t xml:space="preserve">2</w:t>
      </w:r>
      <w:r>
        <w:t xml:space="preserve"> </w:t>
      </w:r>
      <w:r>
        <w:t xml:space="preserve">is potentially expected based on physiological mechanisms and has been observed in young forests in experimental settings</w:t>
      </w:r>
      <w:r>
        <w:t xml:space="preserve"> </w:t>
      </w:r>
      <w:r>
        <w:t xml:space="preserve">(Walker et al., 2020)</w:t>
      </w:r>
      <w:r>
        <w:t xml:space="preserve">; however, it does not appear to be substantial for the trees in natural forest settings analyzed here.</w:t>
      </w:r>
      <w:r>
        <w:t xml:space="preserve"> </w:t>
      </w:r>
      <w:r>
        <w:t xml:space="preserve">Indeed, significant woody growth stimulation by elevated CO</w:t>
      </w:r>
      <w:r>
        <w:rPr>
          <w:vertAlign w:val="subscript"/>
        </w:rPr>
        <w:t xml:space="preserve">2</w:t>
      </w:r>
      <w:r>
        <w:t xml:space="preserve"> </w:t>
      </w:r>
      <w:r>
        <w:t xml:space="preserve">has not been observed in experimentally manipulated mature forests</w:t>
      </w:r>
      <w:r>
        <w:t xml:space="preserve"> </w:t>
      </w:r>
      <w:r>
        <w:t xml:space="preserve">(Walker et al., 2020)</w:t>
      </w:r>
      <w:r>
        <w:t xml:space="preserve">, and previous tree-ring studies overall find little evidence of increasing tree growth rates</w:t>
      </w:r>
      <w:r>
        <w:t xml:space="preserve"> </w:t>
      </w:r>
      <w:r>
        <w:t xml:space="preserve">(e.g., Hararuk et al., 2019; Walker et al., 2020)</w:t>
      </w:r>
      <w:r>
        <w:t xml:space="preserve">.</w:t>
      </w:r>
    </w:p>
    <w:p>
      <w:pPr>
        <w:pStyle w:val="Heading2"/>
      </w:pPr>
      <w:bookmarkStart w:id="48" w:name="Conclusions"/>
      <w:r>
        <w:t xml:space="preserve">Conclusions</w:t>
      </w:r>
      <w:bookmarkEnd w:id="48"/>
    </w:p>
    <w:p>
      <w:pPr>
        <w:pStyle w:val="FirstParagraph"/>
      </w:pPr>
      <w:r>
        <w:t xml:space="preserve">Altogether, our analysis method reveals a much richer picture of the factors influencing tree growth than has previously been possible.</w:t>
      </w:r>
      <w:r>
        <w:t xml:space="preserve"> </w:t>
      </w:r>
      <w:r>
        <w:t xml:space="preserve">Specifically, it allows us to show that growth is generally simultaneously influenced by temperature and precipitation over different time windows,</w:t>
      </w:r>
      <w:r>
        <w:t xml:space="preserve"> </w:t>
      </w:r>
      <w:r>
        <w:t xml:space="preserve">that nonlinear climate responses and interactive effects of climate with</w:t>
      </w:r>
      <w:r>
        <w:t xml:space="preserve"> </w:t>
      </w:r>
      <m:oMath>
        <m:r>
          <m:t>D</m:t>
        </m:r>
        <m:r>
          <m:t>B</m:t>
        </m:r>
        <m:r>
          <m:t>H</m:t>
        </m:r>
      </m:oMath>
      <w:r>
        <w:t xml:space="preserve"> </w:t>
      </w:r>
      <w:r>
        <w:t xml:space="preserve">are common (Figs. 3 and 5, respectively),</w:t>
      </w:r>
      <w:r>
        <w:t xml:space="preserve"> </w:t>
      </w:r>
      <w:r>
        <w:t xml:space="preserve">that growth–measured by any metric–almost universally varies with</w:t>
      </w:r>
      <w:r>
        <w:t xml:space="preserve"> </w:t>
      </w:r>
      <m:oMath>
        <m:r>
          <m:t>D</m:t>
        </m:r>
        <m:r>
          <m:t>B</m:t>
        </m:r>
        <m:r>
          <m:t>H</m:t>
        </m:r>
      </m:oMath>
      <w:r>
        <w:t xml:space="preserve"> </w:t>
      </w:r>
      <w:r>
        <w:t xml:space="preserve">(Fig. 4),</w:t>
      </w:r>
      <w:r>
        <w:t xml:space="preserve"> </w:t>
      </w:r>
      <w:r>
        <w:t xml:space="preserve">and that growth of most species has been declining in response to a changing environment (stand successional status or global change; Fig. 6).</w:t>
      </w:r>
      <w:r>
        <w:t xml:space="preserve"> </w:t>
      </w:r>
      <w:r>
        <w:t xml:space="preserve">While traditional dendrochronology methods, particularly those focused on climate reconstruction, generally sample and analyze data in order to minimize many of these effects, they of great interest and significance from an ecological perspective.</w:t>
      </w:r>
      <w:r>
        <w:t xml:space="preserve"> </w:t>
      </w:r>
      <w:r>
        <w:t xml:space="preserve">As global change pressures intensify and the need to understand changing forest dynamics becomes increasingly urgent (REFS)</w:t>
      </w:r>
      <w:r>
        <w:t xml:space="preserve"> </w:t>
      </w:r>
      <w:r>
        <w:t xml:space="preserve">(McDowell et al., 2020)</w:t>
      </w:r>
      <w:r>
        <w:t xml:space="preserve">, we expect that this approach will prove valuable to understanding drivers of tree growth and forest change.</w:t>
      </w:r>
    </w:p>
    <w:p>
      <w:pPr>
        <w:pStyle w:val="Heading1"/>
      </w:pPr>
      <w:bookmarkStart w:id="49" w:name="Acknowledgements"/>
      <w:r>
        <w:t xml:space="preserve">Acknowledgements</w:t>
      </w:r>
      <w:bookmarkEnd w:id="49"/>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p>
    <w:p>
      <w:pPr>
        <w:pStyle w:val="Heading1"/>
      </w:pPr>
      <w:bookmarkStart w:id="50" w:name="Authors"/>
      <w:r>
        <w:t xml:space="preserve">Authors’ contributions</w:t>
      </w:r>
      <w:bookmarkEnd w:id="50"/>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p>
      <w:pPr>
        <w:pStyle w:val="Heading1"/>
      </w:pPr>
      <w:bookmarkStart w:id="51" w:name="Data"/>
      <w:r>
        <w:t xml:space="preserve">Data availability</w:t>
      </w:r>
      <w:bookmarkEnd w:id="51"/>
    </w:p>
    <w:p>
      <w:pPr>
        <w:pStyle w:val="FirstParagraph"/>
      </w:pPr>
      <w:r>
        <w:rPr>
          <w:i/>
        </w:rPr>
        <w:t xml:space="preserve">To enable readers to locate archived data from papers, we require that authors list the database and the respective accession numbers or DOIs for all data from the manuscript that has been made publicly available.</w:t>
      </w:r>
    </w:p>
    <w:p>
      <w:pPr>
        <w:pStyle w:val="BodyText"/>
      </w:pPr>
      <w:r>
        <w:t xml:space="preserve">Code and full results are available via the project repository in GitHub (github.com/EcoClimLab/ForestGEO-climate-sensitivity) and archived in Zenodo (DOI: TBD) .</w:t>
      </w:r>
      <w:r>
        <w:t xml:space="preserve"> </w:t>
      </w:r>
      <w:r>
        <w:t xml:space="preserve">Data for [# TBD] of the sites are archived in the The DendroEcological Network (DEN) database</w:t>
      </w:r>
      <w:r>
        <w:t xml:space="preserve"> </w:t>
      </w:r>
      <w:r>
        <w:t xml:space="preserve">(SCBI, … ; Rayback et al., 2020)</w:t>
      </w:r>
      <w:r>
        <w:t xml:space="preserve"> </w:t>
      </w:r>
      <w:r>
        <w:t xml:space="preserve">and or the International Tree-Ring Data Bank, ITRDB (CB; …).</w:t>
      </w:r>
    </w:p>
    <w:p>
      <w:pPr>
        <w:pStyle w:val="Heading1"/>
      </w:pPr>
      <w:bookmarkStart w:id="52" w:name="Supplementary"/>
      <w:r>
        <w:t xml:space="preserve">Supplementary files</w:t>
      </w:r>
      <w:bookmarkEnd w:id="52"/>
    </w:p>
    <w:p>
      <w:pPr>
        <w:pStyle w:val="FirstParagraph"/>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p>
      <w:pPr>
        <w:pStyle w:val="Heading1"/>
      </w:pPr>
      <w:bookmarkStart w:id="53" w:name="References"/>
      <w:r>
        <w:t xml:space="preserve">References</w:t>
      </w:r>
      <w:bookmarkEnd w:id="53"/>
    </w:p>
    <w:bookmarkStart w:id="228" w:name="refs"/>
    <w:bookmarkStart w:id="55"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w:t>
      </w:r>
      <w:r>
        <w:t xml:space="preserve"> </w:t>
      </w:r>
      <w:hyperlink r:id="rId54">
        <w:r>
          <w:rPr>
            <w:rStyle w:val="Hyperlink"/>
          </w:rPr>
          <w:t xml:space="preserve">https://doi.org/10.1017/qua.2019.33</w:t>
        </w:r>
      </w:hyperlink>
    </w:p>
    <w:bookmarkEnd w:id="55"/>
    <w:bookmarkStart w:id="57"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w:t>
      </w:r>
      <w:r>
        <w:t xml:space="preserve"> </w:t>
      </w:r>
      <w:hyperlink r:id="rId56">
        <w:r>
          <w:rPr>
            <w:rStyle w:val="Hyperlink"/>
          </w:rPr>
          <w:t xml:space="preserve">https://doi.org/10.1007/s00468-017-1629-0</w:t>
        </w:r>
      </w:hyperlink>
    </w:p>
    <w:bookmarkEnd w:id="57"/>
    <w:bookmarkStart w:id="59" w:name="ref-alfaro-sanchez_growth_2017"/>
    <w:p>
      <w:pPr>
        <w:pStyle w:val="Bibliography"/>
      </w:pPr>
      <w:r>
        <w:t xml:space="preserve">Alfaro-Sánchez, R., Muller-Landau, H. C., Wright, S. J., &amp; Camarero, J. J. (2017). Growth and reproduction respond differently to climate in three Neotropical tree species.</w:t>
      </w:r>
      <w:r>
        <w:t xml:space="preserve"> </w:t>
      </w:r>
      <w:r>
        <w:rPr>
          <w:i/>
        </w:rPr>
        <w:t xml:space="preserve">Oecologia</w:t>
      </w:r>
      <w:r>
        <w:t xml:space="preserve">.</w:t>
      </w:r>
      <w:r>
        <w:t xml:space="preserve"> </w:t>
      </w:r>
      <w:hyperlink r:id="rId58">
        <w:r>
          <w:rPr>
            <w:rStyle w:val="Hyperlink"/>
          </w:rPr>
          <w:t xml:space="preserve">https://doi.org/10.1007/s00442-017-3879-3</w:t>
        </w:r>
      </w:hyperlink>
    </w:p>
    <w:bookmarkEnd w:id="59"/>
    <w:bookmarkStart w:id="61" w:name="ref-amoroso_dendroecology_2017"/>
    <w:p>
      <w:pPr>
        <w:pStyle w:val="Bibliography"/>
      </w:pPr>
      <w:r>
        <w:t xml:space="preserve">Amoroso, M. M., Daniels, L., Baker, P. J., &amp; Camarero, J. J. (Eds.). (2017).</w:t>
      </w:r>
      <w:r>
        <w:t xml:space="preserve"> </w:t>
      </w:r>
      <w:r>
        <w:rPr>
          <w:i/>
        </w:rPr>
        <w:t xml:space="preserve">Dendroecology: Tree-Ring Analyses Applied to Ecological Studies</w:t>
      </w:r>
      <w:r>
        <w:t xml:space="preserve">. Springer International Publishing.</w:t>
      </w:r>
      <w:r>
        <w:t xml:space="preserve"> </w:t>
      </w:r>
      <w:hyperlink r:id="rId60">
        <w:r>
          <w:rPr>
            <w:rStyle w:val="Hyperlink"/>
          </w:rPr>
          <w:t xml:space="preserve">https://doi.org/10.1007/978-3-319-61669-8</w:t>
        </w:r>
      </w:hyperlink>
    </w:p>
    <w:bookmarkEnd w:id="61"/>
    <w:bookmarkStart w:id="63" w:name="ref-anderson-teixeira_forestgeoclimate_2020"/>
    <w:p>
      <w:pPr>
        <w:pStyle w:val="Bibliography"/>
      </w:pPr>
      <w:r>
        <w:t xml:space="preserve">Anderson-Teixeira, K., Gonzalez, B., ForestGEO, McGregor, I., Gonzalez-Akre, E., RHelcoski, Herrmann, V., Kim, A. Y., Terrell, A., &amp; Camerondow35. (2020).</w:t>
      </w:r>
      <w:r>
        <w:t xml:space="preserve"> </w:t>
      </w:r>
      <w:r>
        <w:rPr>
          <w:i/>
        </w:rPr>
        <w:t xml:space="preserve">Forestgeo/Climate: Initial release</w:t>
      </w:r>
      <w:r>
        <w:t xml:space="preserve">. Zenodo.</w:t>
      </w:r>
      <w:r>
        <w:t xml:space="preserve"> </w:t>
      </w:r>
      <w:hyperlink r:id="rId62">
        <w:r>
          <w:rPr>
            <w:rStyle w:val="Hyperlink"/>
          </w:rPr>
          <w:t xml:space="preserve">https://doi.org/10.5281/ZENODO.3958215</w:t>
        </w:r>
      </w:hyperlink>
    </w:p>
    <w:bookmarkEnd w:id="63"/>
    <w:bookmarkStart w:id="65" w:name="ref-anderson-teixeira_ctfs-forestgeo_2015"/>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 CTFS-ForestGEO :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w:t>
      </w:r>
      <w:r>
        <w:t xml:space="preserve"> </w:t>
      </w:r>
      <w:hyperlink r:id="rId64">
        <w:r>
          <w:rPr>
            <w:rStyle w:val="Hyperlink"/>
          </w:rPr>
          <w:t xml:space="preserve">https://doi.org/10.1111/gcb.12712</w:t>
        </w:r>
      </w:hyperlink>
    </w:p>
    <w:bookmarkEnd w:id="65"/>
    <w:bookmarkStart w:id="67"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w:t>
      </w:r>
      <w:r>
        <w:t xml:space="preserve"> </w:t>
      </w:r>
      <w:hyperlink r:id="rId66">
        <w:r>
          <w:rPr>
            <w:rStyle w:val="Hyperlink"/>
          </w:rPr>
          <w:t xml:space="preserve">https://doi.org/10.1111/1365-2435.12470</w:t>
        </w:r>
      </w:hyperlink>
    </w:p>
    <w:bookmarkEnd w:id="67"/>
    <w:bookmarkStart w:id="69" w:name="ref-babst_twentieth_2019"/>
    <w:p>
      <w:pPr>
        <w:pStyle w:val="Bibliography"/>
      </w:pPr>
      <w:r>
        <w:t xml:space="preserve">Babst, F., Bouriaud, O., Poulter, B., Trouet, V., Girardin, M. P., &amp; Frank, D. C. (2019). Twentieth century redistribution in climatic drivers of global tree growth.</w:t>
      </w:r>
      <w:r>
        <w:t xml:space="preserve"> </w:t>
      </w:r>
      <w:r>
        <w:rPr>
          <w:i/>
        </w:rPr>
        <w:t xml:space="preserve">Science Advances</w:t>
      </w:r>
      <w:r>
        <w:t xml:space="preserve">,</w:t>
      </w:r>
      <w:r>
        <w:t xml:space="preserve"> </w:t>
      </w:r>
      <w:r>
        <w:rPr>
          <w:i/>
        </w:rPr>
        <w:t xml:space="preserve">5</w:t>
      </w:r>
      <w:r>
        <w:t xml:space="preserve">(1), eaat4313.</w:t>
      </w:r>
      <w:r>
        <w:t xml:space="preserve"> </w:t>
      </w:r>
      <w:hyperlink r:id="rId68">
        <w:r>
          <w:rPr>
            <w:rStyle w:val="Hyperlink"/>
          </w:rPr>
          <w:t xml:space="preserve">https://doi.org/10.1126/sciadv.aat4313</w:t>
        </w:r>
      </w:hyperlink>
    </w:p>
    <w:bookmarkEnd w:id="69"/>
    <w:bookmarkStart w:id="70" w:name="ref-banbury_morgan_global_nodate"/>
    <w:p>
      <w:pPr>
        <w:pStyle w:val="Bibliography"/>
      </w:pPr>
      <w:r>
        <w:t xml:space="preserve">Banbury Morgan, B., Herrmann, V., Kunert, N., Bond-Lamberty, B., Muller-Landau, H. C., &amp; Anderson-Teixeira, K. (n.d.). Global patterns of forest autotrophic carbon fluxes.</w:t>
      </w:r>
      <w:r>
        <w:t xml:space="preserve"> </w:t>
      </w:r>
      <w:r>
        <w:rPr>
          <w:i/>
        </w:rPr>
        <w:t xml:space="preserve">Global Change Biology</w:t>
      </w:r>
      <w:r>
        <w:t xml:space="preserve">.</w:t>
      </w:r>
    </w:p>
    <w:bookmarkEnd w:id="70"/>
    <w:bookmarkStart w:id="72" w:name="ref-beedlow_importance_2013"/>
    <w:p>
      <w:pPr>
        <w:pStyle w:val="Bibliography"/>
      </w:pPr>
      <w:r>
        <w:t xml:space="preserve">Beedlow, P. A., Lee, E. H., Tingey, D. T., Waschmann, R. S., &amp; Burdick, C. A. (2013). The importance of seasonal temperature and moisture patterns on growth of Douglas-fir in western Oregon, USA.</w:t>
      </w:r>
      <w:r>
        <w:t xml:space="preserve"> </w:t>
      </w:r>
      <w:r>
        <w:rPr>
          <w:i/>
        </w:rPr>
        <w:t xml:space="preserve">Agricultural and Forest Meteorology</w:t>
      </w:r>
      <w:r>
        <w:t xml:space="preserve">,</w:t>
      </w:r>
      <w:r>
        <w:t xml:space="preserve"> </w:t>
      </w:r>
      <w:r>
        <w:rPr>
          <w:i/>
        </w:rPr>
        <w:t xml:space="preserve">169</w:t>
      </w:r>
      <w:r>
        <w:t xml:space="preserve">, 174–185.</w:t>
      </w:r>
      <w:r>
        <w:t xml:space="preserve"> </w:t>
      </w:r>
      <w:hyperlink r:id="rId71">
        <w:r>
          <w:rPr>
            <w:rStyle w:val="Hyperlink"/>
          </w:rPr>
          <w:t xml:space="preserve">https://doi.org/10.1016/j.agrformet.2012.10.010</w:t>
        </w:r>
      </w:hyperlink>
    </w:p>
    <w:bookmarkEnd w:id="72"/>
    <w:bookmarkStart w:id="74"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w:t>
      </w:r>
      <w:r>
        <w:t xml:space="preserve"> </w:t>
      </w:r>
      <w:hyperlink r:id="rId73">
        <w:r>
          <w:rPr>
            <w:rStyle w:val="Hyperlink"/>
          </w:rPr>
          <w:t xml:space="preserve">https://doi.org/10.1038/nplants.2015.139</w:t>
        </w:r>
      </w:hyperlink>
    </w:p>
    <w:bookmarkEnd w:id="74"/>
    <w:bookmarkStart w:id="76" w:name="ref-biondi_theory-driven_2008"/>
    <w:p>
      <w:pPr>
        <w:pStyle w:val="Bibliography"/>
      </w:pPr>
      <w:r>
        <w:t xml:space="preserve">Biondi, F., &amp; Qeadan, F. (2008). A Theory-Driven Approach to Tree-Ring Standardization: Defining the Biological Trend from Expected Basal Area Increment.</w:t>
      </w:r>
      <w:r>
        <w:t xml:space="preserve"> </w:t>
      </w:r>
      <w:r>
        <w:rPr>
          <w:i/>
        </w:rPr>
        <w:t xml:space="preserve">Tree-Ring Research</w:t>
      </w:r>
      <w:r>
        <w:t xml:space="preserve">,</w:t>
      </w:r>
      <w:r>
        <w:t xml:space="preserve"> </w:t>
      </w:r>
      <w:r>
        <w:rPr>
          <w:i/>
        </w:rPr>
        <w:t xml:space="preserve">64</w:t>
      </w:r>
      <w:r>
        <w:t xml:space="preserve">(2), 81–96.</w:t>
      </w:r>
      <w:r>
        <w:t xml:space="preserve"> </w:t>
      </w:r>
      <w:hyperlink r:id="rId75">
        <w:r>
          <w:rPr>
            <w:rStyle w:val="Hyperlink"/>
          </w:rPr>
          <w:t xml:space="preserve">https://doi.org/10.3959/2008-6.1</w:t>
        </w:r>
      </w:hyperlink>
    </w:p>
    <w:bookmarkEnd w:id="76"/>
    <w:bookmarkStart w:id="78" w:name="ref-braker_measuring_2002"/>
    <w:p>
      <w:pPr>
        <w:pStyle w:val="Bibliography"/>
      </w:pPr>
      <w:r>
        <w:t xml:space="preserve">Bräker, O. U. (2002). Measuring and data processing in tree-ring research a methodological introduction.</w:t>
      </w:r>
      <w:r>
        <w:t xml:space="preserve"> </w:t>
      </w:r>
      <w:r>
        <w:rPr>
          <w:i/>
        </w:rPr>
        <w:t xml:space="preserve">Dendrochronologia</w:t>
      </w:r>
      <w:r>
        <w:t xml:space="preserve">,</w:t>
      </w:r>
      <w:r>
        <w:t xml:space="preserve"> </w:t>
      </w:r>
      <w:r>
        <w:rPr>
          <w:i/>
        </w:rPr>
        <w:t xml:space="preserve">20</w:t>
      </w:r>
      <w:r>
        <w:t xml:space="preserve">(1), 203–216.</w:t>
      </w:r>
      <w:r>
        <w:t xml:space="preserve"> </w:t>
      </w:r>
      <w:hyperlink r:id="rId77">
        <w:r>
          <w:rPr>
            <w:rStyle w:val="Hyperlink"/>
          </w:rPr>
          <w:t xml:space="preserve">https://doi.org/10.1078/1125-7865-00017</w:t>
        </w:r>
      </w:hyperlink>
    </w:p>
    <w:bookmarkEnd w:id="78"/>
    <w:bookmarkStart w:id="80" w:name="ref-brienen_detecting_2012"/>
    <w:p>
      <w:pPr>
        <w:pStyle w:val="Bibliography"/>
      </w:pPr>
      <w:r>
        <w:t xml:space="preserve">Brienen, R. J. W., Gloor, E., &amp; Zuidema, P. A. (2012). Detecting evidence for CO</w:t>
      </w:r>
      <w:r>
        <w:t xml:space="preserve"> </w:t>
      </w:r>
      <w:r>
        <w:rPr>
          <w:vertAlign w:val="subscript"/>
        </w:rPr>
        <w:t xml:space="preserve">2</w:t>
      </w:r>
      <w:r>
        <w:t xml:space="preserve"> </w:t>
      </w:r>
      <w:r>
        <w:t xml:space="preserve">fertilization from tree ring studies: The potential role of sampling biases: CO</w:t>
      </w:r>
      <w:r>
        <w:t xml:space="preserve"> </w:t>
      </w:r>
      <w:r>
        <w:rPr>
          <w:vertAlign w:val="subscript"/>
        </w:rPr>
        <w:t xml:space="preserve">2</w:t>
      </w:r>
      <w:r>
        <w:t xml:space="preserve"> </w:t>
      </w:r>
      <w:r>
        <w:t xml:space="preserve">FERTILIZATION FROM TREE RINGS.</w:t>
      </w:r>
      <w:r>
        <w:t xml:space="preserve"> </w:t>
      </w:r>
      <w:r>
        <w:rPr>
          <w:i/>
        </w:rPr>
        <w:t xml:space="preserve">Global Biogeochemical Cycles</w:t>
      </w:r>
      <w:r>
        <w:t xml:space="preserve">,</w:t>
      </w:r>
      <w:r>
        <w:t xml:space="preserve"> </w:t>
      </w:r>
      <w:r>
        <w:rPr>
          <w:i/>
        </w:rPr>
        <w:t xml:space="preserve">26</w:t>
      </w:r>
      <w:r>
        <w:t xml:space="preserve">(1), n/a–n/a.</w:t>
      </w:r>
      <w:r>
        <w:t xml:space="preserve"> </w:t>
      </w:r>
      <w:hyperlink r:id="rId79">
        <w:r>
          <w:rPr>
            <w:rStyle w:val="Hyperlink"/>
          </w:rPr>
          <w:t xml:space="preserve">https://doi.org/10.1029/2011GB004143</w:t>
        </w:r>
      </w:hyperlink>
    </w:p>
    <w:bookmarkEnd w:id="80"/>
    <w:bookmarkStart w:id="82" w:name="ref-brienen_tree_2017"/>
    <w:p>
      <w:pPr>
        <w:pStyle w:val="Bibliography"/>
      </w:pPr>
      <w:r>
        <w:t xml:space="preserve">Brienen, R. J. W., Gloor, M., &amp; Ziv, G. (2017). Tree demography dominates long-term growth trends inferred from tree rings.</w:t>
      </w:r>
      <w:r>
        <w:t xml:space="preserve"> </w:t>
      </w:r>
      <w:r>
        <w:rPr>
          <w:i/>
        </w:rPr>
        <w:t xml:space="preserve">Global Change Biology</w:t>
      </w:r>
      <w:r>
        <w:t xml:space="preserve">,</w:t>
      </w:r>
      <w:r>
        <w:t xml:space="preserve"> </w:t>
      </w:r>
      <w:r>
        <w:rPr>
          <w:i/>
        </w:rPr>
        <w:t xml:space="preserve">23</w:t>
      </w:r>
      <w:r>
        <w:t xml:space="preserve">(2), 474–484.</w:t>
      </w:r>
      <w:r>
        <w:t xml:space="preserve"> </w:t>
      </w:r>
      <w:hyperlink r:id="rId81">
        <w:r>
          <w:rPr>
            <w:rStyle w:val="Hyperlink"/>
          </w:rPr>
          <w:t xml:space="preserve">https://doi.org/10.1111/gcb.13410</w:t>
        </w:r>
      </w:hyperlink>
    </w:p>
    <w:bookmarkEnd w:id="82"/>
    <w:bookmarkStart w:id="84" w:name="ref-bumann_assessing_2019"/>
    <w:p>
      <w:pPr>
        <w:pStyle w:val="Bibliography"/>
      </w:pPr>
      <w:r>
        <w:t xml:space="preserve">Bumann, E., Awada, T., Wardlow, B., Hayes, M., Okalebo, J., Helzer, C., Mazis, A., Hiller, J., &amp;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 Niobrara River Valley in Nebraska, U.S.A.,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w:t>
      </w:r>
      <w:r>
        <w:t xml:space="preserve"> </w:t>
      </w:r>
      <w:hyperlink r:id="rId83">
        <w:r>
          <w:rPr>
            <w:rStyle w:val="Hyperlink"/>
          </w:rPr>
          <w:t xml:space="preserve">https://doi.org/10.1139/cjfr-2018-0206</w:t>
        </w:r>
      </w:hyperlink>
    </w:p>
    <w:bookmarkEnd w:id="84"/>
    <w:bookmarkStart w:id="86"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w:t>
      </w:r>
      <w:r>
        <w:t xml:space="preserve"> </w:t>
      </w:r>
      <w:hyperlink r:id="rId85">
        <w:r>
          <w:rPr>
            <w:rStyle w:val="Hyperlink"/>
          </w:rPr>
          <w:t xml:space="preserve">https://doi.org/10.1111/gcb.13535</w:t>
        </w:r>
      </w:hyperlink>
    </w:p>
    <w:bookmarkEnd w:id="86"/>
    <w:bookmarkStart w:id="88" w:name="ref-cavin_highest_2017"/>
    <w:p>
      <w:pPr>
        <w:pStyle w:val="Bibliography"/>
      </w:pPr>
      <w:r>
        <w:t xml:space="preserve">Cavin, L., &amp; Jump, A. S. (2017). Highest drought sensitivity and lowest resistance to growth suppression are found in the range core of the tree Fagus sylvatica L. Not the equatorial range edge.</w:t>
      </w:r>
      <w:r>
        <w:t xml:space="preserve"> </w:t>
      </w:r>
      <w:r>
        <w:rPr>
          <w:i/>
        </w:rPr>
        <w:t xml:space="preserve">Global Change Biology</w:t>
      </w:r>
      <w:r>
        <w:t xml:space="preserve">,</w:t>
      </w:r>
      <w:r>
        <w:t xml:space="preserve"> </w:t>
      </w:r>
      <w:r>
        <w:rPr>
          <w:i/>
        </w:rPr>
        <w:t xml:space="preserve">23</w:t>
      </w:r>
      <w:r>
        <w:t xml:space="preserve">(1), 362–379.</w:t>
      </w:r>
      <w:r>
        <w:t xml:space="preserve"> </w:t>
      </w:r>
      <w:hyperlink r:id="rId87">
        <w:r>
          <w:rPr>
            <w:rStyle w:val="Hyperlink"/>
          </w:rPr>
          <w:t xml:space="preserve">https://doi.org/10.1111/gcb.13366</w:t>
        </w:r>
      </w:hyperlink>
    </w:p>
    <w:bookmarkEnd w:id="88"/>
    <w:bookmarkStart w:id="90" w:name="ref-charney_observed_2016"/>
    <w:p>
      <w:pPr>
        <w:pStyle w:val="Bibliography"/>
      </w:pPr>
      <w:r>
        <w:t xml:space="preserve">Charney, N. D., Babst, F., Poulter, B., Record, S., Trouet, V. M., Frank, D., Enquist, B. J., &amp;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w:t>
      </w:r>
      <w:r>
        <w:t xml:space="preserve"> </w:t>
      </w:r>
      <w:hyperlink r:id="rId89">
        <w:r>
          <w:rPr>
            <w:rStyle w:val="Hyperlink"/>
          </w:rPr>
          <w:t xml:space="preserve">https://doi.org/10.1111/ele.12650</w:t>
        </w:r>
      </w:hyperlink>
    </w:p>
    <w:bookmarkEnd w:id="90"/>
    <w:bookmarkStart w:id="92" w:name="ref-cherubini_potential_1998"/>
    <w:p>
      <w:pPr>
        <w:pStyle w:val="Bibliography"/>
      </w:pPr>
      <w:r>
        <w:t xml:space="preserve">Cherubini, P., Dobbertin, M., &amp; Innes, J. L. (1998). Potential sampling bias in long-term forest growth trends reconstructed from tree rings: A case study from the Italian Alps.</w:t>
      </w:r>
      <w:r>
        <w:t xml:space="preserve"> </w:t>
      </w:r>
      <w:r>
        <w:rPr>
          <w:i/>
        </w:rPr>
        <w:t xml:space="preserve">Forest Ecology and Management</w:t>
      </w:r>
      <w:r>
        <w:t xml:space="preserve">,</w:t>
      </w:r>
      <w:r>
        <w:t xml:space="preserve"> </w:t>
      </w:r>
      <w:r>
        <w:rPr>
          <w:i/>
        </w:rPr>
        <w:t xml:space="preserve">109</w:t>
      </w:r>
      <w:r>
        <w:t xml:space="preserve">(1), 103–118.</w:t>
      </w:r>
      <w:r>
        <w:t xml:space="preserve"> </w:t>
      </w:r>
      <w:hyperlink r:id="rId91">
        <w:r>
          <w:rPr>
            <w:rStyle w:val="Hyperlink"/>
          </w:rPr>
          <w:t xml:space="preserve">https://doi.org/10.1016/S0378-1127(98)00242-4</w:t>
        </w:r>
      </w:hyperlink>
    </w:p>
    <w:bookmarkEnd w:id="92"/>
    <w:bookmarkStart w:id="94" w:name="ref-cook_climate_1989"/>
    <w:p>
      <w:pPr>
        <w:pStyle w:val="Bibliography"/>
      </w:pPr>
      <w:r>
        <w:t xml:space="preserve">Cook, E., &amp; Johnson, A. (1989). Climate change and forest decline: A review of the red spruce case.</w:t>
      </w:r>
      <w:r>
        <w:t xml:space="preserve"> </w:t>
      </w:r>
      <w:r>
        <w:rPr>
          <w:i/>
        </w:rPr>
        <w:t xml:space="preserve">Water, Air, and Soil Pollution</w:t>
      </w:r>
      <w:r>
        <w:t xml:space="preserve">,</w:t>
      </w:r>
      <w:r>
        <w:t xml:space="preserve"> </w:t>
      </w:r>
      <w:r>
        <w:rPr>
          <w:i/>
        </w:rPr>
        <w:t xml:space="preserve">48</w:t>
      </w:r>
      <w:r>
        <w:t xml:space="preserve">(1-2).</w:t>
      </w:r>
      <w:r>
        <w:t xml:space="preserve"> </w:t>
      </w:r>
      <w:hyperlink r:id="rId93">
        <w:r>
          <w:rPr>
            <w:rStyle w:val="Hyperlink"/>
          </w:rPr>
          <w:t xml:space="preserve">https://doi.org/10.1007/BF00282374</w:t>
        </w:r>
      </w:hyperlink>
    </w:p>
    <w:bookmarkEnd w:id="94"/>
    <w:bookmarkStart w:id="96"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w:t>
      </w:r>
      <w:r>
        <w:t xml:space="preserve"> </w:t>
      </w:r>
      <w:hyperlink r:id="rId95">
        <w:r>
          <w:rPr>
            <w:rStyle w:val="Hyperlink"/>
          </w:rPr>
          <w:t xml:space="preserve">https://doi.org/10.1177/095968369700700314</w:t>
        </w:r>
      </w:hyperlink>
    </w:p>
    <w:bookmarkEnd w:id="96"/>
    <w:bookmarkStart w:id="98" w:name="ref-davies_forestgeo_2021"/>
    <w:p>
      <w:pPr>
        <w:pStyle w:val="Bibliography"/>
      </w:pPr>
      <w:r>
        <w:t xml:space="preserve">Davies, S. J., Abiem, I., Abu Salim, K., Aguilar, S., Allen, D., Alonso, A., Anderson-Teixeira, K., Andrade, A., Arellano, G., Ashton, P. S., Baker, P. J., Baker, M. E., Baltzer, J. L., Basset, Y., Bissiengou, P., Bohlman, S., Bourg, N. A., Brockelman, W. Y., Bunyavejchewin, S., … Zuleta, D. (2021). ForestGEO: Understanding forest diversity and dynamics through a global observatory network.</w:t>
      </w:r>
      <w:r>
        <w:t xml:space="preserve"> </w:t>
      </w:r>
      <w:r>
        <w:rPr>
          <w:i/>
        </w:rPr>
        <w:t xml:space="preserve">Biological Conservation</w:t>
      </w:r>
      <w:r>
        <w:t xml:space="preserve">,</w:t>
      </w:r>
      <w:r>
        <w:t xml:space="preserve"> </w:t>
      </w:r>
      <w:r>
        <w:rPr>
          <w:i/>
        </w:rPr>
        <w:t xml:space="preserve">253</w:t>
      </w:r>
      <w:r>
        <w:t xml:space="preserve">, 108907.</w:t>
      </w:r>
      <w:r>
        <w:t xml:space="preserve"> </w:t>
      </w:r>
      <w:hyperlink r:id="rId97">
        <w:r>
          <w:rPr>
            <w:rStyle w:val="Hyperlink"/>
          </w:rPr>
          <w:t xml:space="preserve">https://doi.org/10.1016/j.biocon.2020.108907</w:t>
        </w:r>
      </w:hyperlink>
    </w:p>
    <w:bookmarkEnd w:id="98"/>
    <w:bookmarkStart w:id="100" w:name="ref-davis_forest_2009"/>
    <w:p>
      <w:pPr>
        <w:pStyle w:val="Bibliography"/>
      </w:pPr>
      <w:r>
        <w:t xml:space="preserve">Davis, S. C., Hessl, A. E., Scott, C. J., Adams, M. B., &amp; Thomas, R. B. (2009). Forest carbon sequestration changes in response to timber harvest.</w:t>
      </w:r>
      <w:r>
        <w:t xml:space="preserve"> </w:t>
      </w:r>
      <w:r>
        <w:rPr>
          <w:i/>
        </w:rPr>
        <w:t xml:space="preserve">Forest Ecology and Management</w:t>
      </w:r>
      <w:r>
        <w:t xml:space="preserve">,</w:t>
      </w:r>
      <w:r>
        <w:t xml:space="preserve"> </w:t>
      </w:r>
      <w:r>
        <w:rPr>
          <w:i/>
        </w:rPr>
        <w:t xml:space="preserve">258</w:t>
      </w:r>
      <w:r>
        <w:t xml:space="preserve">(9), 2101–2109.</w:t>
      </w:r>
      <w:r>
        <w:t xml:space="preserve"> </w:t>
      </w:r>
      <w:hyperlink r:id="rId99">
        <w:r>
          <w:rPr>
            <w:rStyle w:val="Hyperlink"/>
          </w:rPr>
          <w:t xml:space="preserve">https://doi.org/10.1016/j.foreco.2009.08.009</w:t>
        </w:r>
      </w:hyperlink>
    </w:p>
    <w:bookmarkEnd w:id="100"/>
    <w:bookmarkStart w:id="102" w:name="ref-dearborn_permafrost_2020"/>
    <w:p>
      <w:pPr>
        <w:pStyle w:val="Bibliography"/>
      </w:pPr>
      <w:r>
        <w:t xml:space="preserve">Dearborn, K. D., Wallace, C. A., Patankar, R., &amp; Baltzer, J. L. (2020). Permafrost thaw in boreal peatlands is rapidly altering forest community composition.</w:t>
      </w:r>
      <w:r>
        <w:t xml:space="preserve"> </w:t>
      </w:r>
      <w:r>
        <w:rPr>
          <w:i/>
        </w:rPr>
        <w:t xml:space="preserve">Journal of Ecology</w:t>
      </w:r>
      <w:r>
        <w:t xml:space="preserve">.</w:t>
      </w:r>
      <w:r>
        <w:t xml:space="preserve"> </w:t>
      </w:r>
      <w:hyperlink r:id="rId101">
        <w:r>
          <w:rPr>
            <w:rStyle w:val="Hyperlink"/>
          </w:rPr>
          <w:t xml:space="preserve">https://doi.org/10.1111/1365-2745.13569</w:t>
        </w:r>
      </w:hyperlink>
    </w:p>
    <w:bookmarkEnd w:id="102"/>
    <w:bookmarkStart w:id="104"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w:t>
      </w:r>
      <w:r>
        <w:t xml:space="preserve"> </w:t>
      </w:r>
      <w:hyperlink r:id="rId103">
        <w:r>
          <w:rPr>
            <w:rStyle w:val="Hyperlink"/>
          </w:rPr>
          <w:t xml:space="preserve">https://doi.org/10.1038/s41467-020-14300-5</w:t>
        </w:r>
      </w:hyperlink>
    </w:p>
    <w:bookmarkEnd w:id="104"/>
    <w:bookmarkStart w:id="106" w:name="ref-dye_comparing_2016"/>
    <w:p>
      <w:pPr>
        <w:pStyle w:val="Bibliography"/>
      </w:pPr>
      <w:r>
        <w:t xml:space="preserve">Dye, A., Barker Plotkin, A., Bishop, D., Pederson, N., Poulter, B., &amp; Hessl, A. (2016). Comparing tree-ring and permanent plot estimates of aboveground net primary production in three eastern U.S. Forests.</w:t>
      </w:r>
      <w:r>
        <w:t xml:space="preserve"> </w:t>
      </w:r>
      <w:r>
        <w:rPr>
          <w:i/>
        </w:rPr>
        <w:t xml:space="preserve">Ecosphere</w:t>
      </w:r>
      <w:r>
        <w:t xml:space="preserve">,</w:t>
      </w:r>
      <w:r>
        <w:t xml:space="preserve"> </w:t>
      </w:r>
      <w:r>
        <w:rPr>
          <w:i/>
        </w:rPr>
        <w:t xml:space="preserve">7</w:t>
      </w:r>
      <w:r>
        <w:t xml:space="preserve">(9), e01454.</w:t>
      </w:r>
      <w:r>
        <w:t xml:space="preserve"> </w:t>
      </w:r>
      <w:hyperlink r:id="rId105">
        <w:r>
          <w:rPr>
            <w:rStyle w:val="Hyperlink"/>
          </w:rPr>
          <w:t xml:space="preserve">https://doi.org/10.1002/ecs2.1454</w:t>
        </w:r>
      </w:hyperlink>
    </w:p>
    <w:bookmarkEnd w:id="106"/>
    <w:bookmarkStart w:id="108"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w:t>
      </w:r>
      <w:r>
        <w:t xml:space="preserve"> </w:t>
      </w:r>
      <w:hyperlink r:id="rId107">
        <w:r>
          <w:rPr>
            <w:rStyle w:val="Hyperlink"/>
          </w:rPr>
          <w:t xml:space="preserve">https://doi.org/10.1007/s10584-009-9594-2</w:t>
        </w:r>
      </w:hyperlink>
    </w:p>
    <w:bookmarkEnd w:id="108"/>
    <w:bookmarkStart w:id="110"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
        </w:rPr>
        <w:t xml:space="preserve">Ecosphere</w:t>
      </w:r>
      <w:r>
        <w:t xml:space="preserve">,</w:t>
      </w:r>
      <w:r>
        <w:t xml:space="preserve"> </w:t>
      </w:r>
      <w:r>
        <w:rPr>
          <w:i/>
        </w:rPr>
        <w:t xml:space="preserve">8</w:t>
      </w:r>
      <w:r>
        <w:t xml:space="preserve">(7), e01889.</w:t>
      </w:r>
      <w:r>
        <w:t xml:space="preserve"> </w:t>
      </w:r>
      <w:hyperlink r:id="rId109">
        <w:r>
          <w:rPr>
            <w:rStyle w:val="Hyperlink"/>
          </w:rPr>
          <w:t xml:space="preserve">https://doi.org/10.1002/ecs2.1889</w:t>
        </w:r>
      </w:hyperlink>
    </w:p>
    <w:bookmarkEnd w:id="110"/>
    <w:bookmarkStart w:id="112"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 Harvard Forest Long-Term Ecological Research site: Pattern, process, and response to global change.</w:t>
      </w:r>
      <w:r>
        <w:t xml:space="preserve"> </w:t>
      </w:r>
      <w:r>
        <w:rPr>
          <w:i/>
        </w:rPr>
        <w:t xml:space="preserve">Ecological Monographs</w:t>
      </w:r>
      <w:r>
        <w:t xml:space="preserve">,</w:t>
      </w:r>
      <w:r>
        <w:t xml:space="preserve"> </w:t>
      </w:r>
      <w:r>
        <w:rPr>
          <w:i/>
        </w:rPr>
        <w:t xml:space="preserve">90</w:t>
      </w:r>
      <w:r>
        <w:t xml:space="preserve">(4), e01423.</w:t>
      </w:r>
      <w:r>
        <w:t xml:space="preserve"> </w:t>
      </w:r>
      <w:hyperlink r:id="rId111">
        <w:r>
          <w:rPr>
            <w:rStyle w:val="Hyperlink"/>
          </w:rPr>
          <w:t xml:space="preserve">https://doi.org/10.1002/ecm.1423</w:t>
        </w:r>
      </w:hyperlink>
    </w:p>
    <w:bookmarkEnd w:id="112"/>
    <w:bookmarkStart w:id="114"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w:t>
      </w:r>
      <w:r>
        <w:t xml:space="preserve"> </w:t>
      </w:r>
      <w:hyperlink r:id="rId113">
        <w:r>
          <w:rPr>
            <w:rStyle w:val="Hyperlink"/>
          </w:rPr>
          <w:t xml:space="preserve">https://doi.org/10.1016/j.foreco.2020.118717</w:t>
        </w:r>
      </w:hyperlink>
    </w:p>
    <w:bookmarkEnd w:id="114"/>
    <w:bookmarkStart w:id="116"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w:t>
      </w:r>
      <w:r>
        <w:t xml:space="preserve"> </w:t>
      </w:r>
      <w:hyperlink r:id="rId115">
        <w:r>
          <w:rPr>
            <w:rStyle w:val="Hyperlink"/>
          </w:rPr>
          <w:t xml:space="preserve">https://doi.org/10.1111/gcb.13208</w:t>
        </w:r>
      </w:hyperlink>
    </w:p>
    <w:bookmarkEnd w:id="116"/>
    <w:bookmarkStart w:id="118"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117">
        <w:r>
          <w:rPr>
            <w:rStyle w:val="Hyperlink"/>
          </w:rPr>
          <w:t xml:space="preserve">https://doi.org/10.1175/JCLI3800.1</w:t>
        </w:r>
      </w:hyperlink>
    </w:p>
    <w:bookmarkEnd w:id="118"/>
    <w:bookmarkStart w:id="119" w:name="ref-fritts_tree_1976"/>
    <w:p>
      <w:pPr>
        <w:pStyle w:val="Bibliography"/>
      </w:pPr>
      <w:r>
        <w:t xml:space="preserve">Fritts, H. C. (1976).</w:t>
      </w:r>
      <w:r>
        <w:t xml:space="preserve"> </w:t>
      </w:r>
      <w:r>
        <w:rPr>
          <w:i/>
        </w:rPr>
        <w:t xml:space="preserve">Tree rings and climate</w:t>
      </w:r>
      <w:r>
        <w:t xml:space="preserve">. Academic Press.</w:t>
      </w:r>
    </w:p>
    <w:bookmarkEnd w:id="119"/>
    <w:bookmarkStart w:id="121" w:name="ref-fritts_dendroecology_1989"/>
    <w:p>
      <w:pPr>
        <w:pStyle w:val="Bibliography"/>
      </w:pPr>
      <w:r>
        <w:t xml:space="preserve">Fritts, H. C., &amp; Swetnam, T. W. (1989). Dendroecology: A Tool for Evaluating Variations in Past and Present Forest Environments. In M. Begon, A. H. Fitter, E. D. Ford, &amp; A. MacFadyen (Eds.),</w:t>
      </w:r>
      <w:r>
        <w:t xml:space="preserve"> </w:t>
      </w:r>
      <w:r>
        <w:rPr>
          <w:i/>
        </w:rPr>
        <w:t xml:space="preserve">Advances in Ecological Research</w:t>
      </w:r>
      <w:r>
        <w:t xml:space="preserve"> </w:t>
      </w:r>
      <w:r>
        <w:t xml:space="preserve">(Vol. 19, pp. 111–188). Academic Press.</w:t>
      </w:r>
      <w:r>
        <w:t xml:space="preserve"> </w:t>
      </w:r>
      <w:hyperlink r:id="rId120">
        <w:r>
          <w:rPr>
            <w:rStyle w:val="Hyperlink"/>
          </w:rPr>
          <w:t xml:space="preserve">https://doi.org/10.1016/S0065-2504(08)60158-0</w:t>
        </w:r>
      </w:hyperlink>
    </w:p>
    <w:bookmarkEnd w:id="121"/>
    <w:bookmarkStart w:id="123" w:name="ref-gillerot_tree_2020"/>
    <w:p>
      <w:pPr>
        <w:pStyle w:val="Bibliography"/>
      </w:pPr>
      <w:r>
        <w:t xml:space="preserve">Gillerot, L., Forrester, D. I., Bottero, A., Rigling, A., &amp; Lévesque, M. (2020). Tree Neighbourhood Diversity Has Negligible Effects on Drought Resilience of European Beech, Silver Fir and Norway Spruce.</w:t>
      </w:r>
      <w:r>
        <w:t xml:space="preserve"> </w:t>
      </w:r>
      <w:r>
        <w:rPr>
          <w:i/>
        </w:rPr>
        <w:t xml:space="preserve">Ecosystems</w:t>
      </w:r>
      <w:r>
        <w:t xml:space="preserve">.</w:t>
      </w:r>
      <w:r>
        <w:t xml:space="preserve"> </w:t>
      </w:r>
      <w:hyperlink r:id="rId122">
        <w:r>
          <w:rPr>
            <w:rStyle w:val="Hyperlink"/>
          </w:rPr>
          <w:t xml:space="preserve">https://doi.org/10.1007/s10021-020-00501-y</w:t>
        </w:r>
      </w:hyperlink>
    </w:p>
    <w:bookmarkEnd w:id="123"/>
    <w:bookmarkStart w:id="125" w:name="ref-gonzalez-akre_scbi-forestgeoscbi-forestgeo-data_2020-1"/>
    <w:p>
      <w:pPr>
        <w:pStyle w:val="Bibliography"/>
      </w:pPr>
      <w:r>
        <w:t xml:space="preserve">Gonzalez-Akre, E., McGregor, I., Anderson-Teixeira, K., Dow, C., Herrmann, V., Terrell, A., Kim, A. Y., NidhiVinod, &amp; RHelcoski. (2020).</w:t>
      </w:r>
      <w:r>
        <w:t xml:space="preserve"> </w:t>
      </w:r>
      <w:r>
        <w:rPr>
          <w:i/>
        </w:rPr>
        <w:t xml:space="preserve">SCBI-ForestGEO/SCBI-ForestGEO-Data: First release with hydraulic traits data</w:t>
      </w:r>
      <w:r>
        <w:t xml:space="preserve">. Zenodo.</w:t>
      </w:r>
      <w:r>
        <w:t xml:space="preserve"> </w:t>
      </w:r>
      <w:hyperlink r:id="rId124">
        <w:r>
          <w:rPr>
            <w:rStyle w:val="Hyperlink"/>
          </w:rPr>
          <w:t xml:space="preserve">https://doi.org/10.5281/ZENODO.4070038</w:t>
        </w:r>
      </w:hyperlink>
    </w:p>
    <w:bookmarkEnd w:id="125"/>
    <w:bookmarkStart w:id="126" w:name="ref-goulden_patterns_2011"/>
    <w:p>
      <w:pPr>
        <w:pStyle w:val="Bibliography"/>
      </w:pPr>
      <w:r>
        <w:t xml:space="preserve">Goulden, M., McMillan, A., Winston, G., Rocha, A., Manies, K., Harden, J., &amp; Bond-Lamberty, B. (2011). Patterns of NPP, GPP, respiration, and NEP during boreal forest succession.</w:t>
      </w:r>
      <w:r>
        <w:t xml:space="preserve"> </w:t>
      </w:r>
      <w:r>
        <w:rPr>
          <w:i/>
        </w:rPr>
        <w:t xml:space="preserve">Global Change Biology</w:t>
      </w:r>
      <w:r>
        <w:t xml:space="preserve">,</w:t>
      </w:r>
      <w:r>
        <w:t xml:space="preserve"> </w:t>
      </w:r>
      <w:r>
        <w:rPr>
          <w:i/>
        </w:rPr>
        <w:t xml:space="preserve">17</w:t>
      </w:r>
      <w:r>
        <w:t xml:space="preserve">(2), 855–871.</w:t>
      </w:r>
    </w:p>
    <w:bookmarkEnd w:id="126"/>
    <w:bookmarkStart w:id="128"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w:t>
      </w:r>
      <w:r>
        <w:t xml:space="preserve"> </w:t>
      </w:r>
      <w:hyperlink r:id="rId127">
        <w:r>
          <w:rPr>
            <w:rStyle w:val="Hyperlink"/>
          </w:rPr>
          <w:t xml:space="preserve">https://doi.org/10.2307/1937545</w:t>
        </w:r>
      </w:hyperlink>
    </w:p>
    <w:bookmarkEnd w:id="128"/>
    <w:bookmarkStart w:id="130" w:name="ref-groenendijk_no_2015"/>
    <w:p>
      <w:pPr>
        <w:pStyle w:val="Bibliography"/>
      </w:pPr>
      <w:r>
        <w:t xml:space="preserve">Groenendijk, P., Sleen, P. van der, Vlam, M., Bunyavejchewin, S., Bongers, F., &amp; Zuidema, P. A. (2015). No evidence for consistent long-term growth stimulation of 13 tropical tree species: Results from tree-ring analysis.</w:t>
      </w:r>
      <w:r>
        <w:t xml:space="preserve"> </w:t>
      </w:r>
      <w:r>
        <w:rPr>
          <w:i/>
        </w:rPr>
        <w:t xml:space="preserve">Global Change Biology</w:t>
      </w:r>
      <w:r>
        <w:t xml:space="preserve">,</w:t>
      </w:r>
      <w:r>
        <w:t xml:space="preserve"> </w:t>
      </w:r>
      <w:r>
        <w:rPr>
          <w:i/>
        </w:rPr>
        <w:t xml:space="preserve">21</w:t>
      </w:r>
      <w:r>
        <w:t xml:space="preserve">(10), 3762–3776.</w:t>
      </w:r>
      <w:r>
        <w:t xml:space="preserve"> </w:t>
      </w:r>
      <w:hyperlink r:id="rId129">
        <w:r>
          <w:rPr>
            <w:rStyle w:val="Hyperlink"/>
          </w:rPr>
          <w:t xml:space="preserve">https://doi.org/10.1111/gcb.12955</w:t>
        </w:r>
      </w:hyperlink>
    </w:p>
    <w:bookmarkEnd w:id="130"/>
    <w:bookmarkStart w:id="132" w:name="ref-hacket-pain_consistent_2016"/>
    <w:p>
      <w:pPr>
        <w:pStyle w:val="Bibliography"/>
      </w:pPr>
      <w:r>
        <w:t xml:space="preserve">Hacket-Pain, A. J., Cavin, L., Friend, A. D., &amp; Jump, A. S. (2016). Consistent limitation of growth by high temperature and low precipitation from range core to southern edge of European 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w:t>
      </w:r>
      <w:r>
        <w:t xml:space="preserve"> </w:t>
      </w:r>
      <w:hyperlink r:id="rId131">
        <w:r>
          <w:rPr>
            <w:rStyle w:val="Hyperlink"/>
          </w:rPr>
          <w:t xml:space="preserve">https://doi.org/10.1007/s10342-016-0982-7</w:t>
        </w:r>
      </w:hyperlink>
    </w:p>
    <w:bookmarkEnd w:id="132"/>
    <w:bookmarkStart w:id="134" w:name="ref-hararuk_tree_2019"/>
    <w:p>
      <w:pPr>
        <w:pStyle w:val="Bibliography"/>
      </w:pPr>
      <w:r>
        <w:t xml:space="preserve">Hararuk, O., Campbell, E. M., Antos, J. A., &amp; Parish, R. (2019). Tree rings provide no evidence of a CO</w:t>
      </w:r>
      <w:r>
        <w:t xml:space="preserve"> </w:t>
      </w:r>
      <w:r>
        <w:rPr>
          <w:vertAlign w:val="subscript"/>
        </w:rPr>
        <w:t xml:space="preserve">2</w:t>
      </w:r>
      <w:r>
        <w:t xml:space="preserve"> </w:t>
      </w:r>
      <w:r>
        <w:t xml:space="preserve">fertilization effect in old-growth subalpine forests of western Canada.</w:t>
      </w:r>
      <w:r>
        <w:t xml:space="preserve"> </w:t>
      </w:r>
      <w:r>
        <w:rPr>
          <w:i/>
        </w:rPr>
        <w:t xml:space="preserve">Global Change Biology</w:t>
      </w:r>
      <w:r>
        <w:t xml:space="preserve">,</w:t>
      </w:r>
      <w:r>
        <w:t xml:space="preserve"> </w:t>
      </w:r>
      <w:r>
        <w:rPr>
          <w:i/>
        </w:rPr>
        <w:t xml:space="preserve">25</w:t>
      </w:r>
      <w:r>
        <w:t xml:space="preserve">(4), 1222–1234.</w:t>
      </w:r>
      <w:r>
        <w:t xml:space="preserve"> </w:t>
      </w:r>
      <w:hyperlink r:id="rId133">
        <w:r>
          <w:rPr>
            <w:rStyle w:val="Hyperlink"/>
          </w:rPr>
          <w:t xml:space="preserve">https://doi.org/10.1111/gcb.14561</w:t>
        </w:r>
      </w:hyperlink>
    </w:p>
    <w:bookmarkEnd w:id="134"/>
    <w:bookmarkStart w:id="136" w:name="ref-harris_updated_2014"/>
    <w:p>
      <w:pPr>
        <w:pStyle w:val="Bibliography"/>
      </w:pPr>
      <w:r>
        <w:t xml:space="preserve">Harris, I., Jones, P., Osborn, T., &amp; Lister, D.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w:t>
      </w:r>
      <w:r>
        <w:t xml:space="preserve"> </w:t>
      </w:r>
      <w:hyperlink r:id="rId135">
        <w:r>
          <w:rPr>
            <w:rStyle w:val="Hyperlink"/>
          </w:rPr>
          <w:t xml:space="preserve">https://doi.org/10.1002/joc.3711</w:t>
        </w:r>
      </w:hyperlink>
    </w:p>
    <w:bookmarkEnd w:id="136"/>
    <w:bookmarkStart w:id="138"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w:t>
      </w:r>
      <w:r>
        <w:t xml:space="preserve"> </w:t>
      </w:r>
      <w:hyperlink r:id="rId137">
        <w:r>
          <w:rPr>
            <w:rStyle w:val="Hyperlink"/>
          </w:rPr>
          <w:t xml:space="preserve">https://doi.org/10.1038/s41597-020-0453-3</w:t>
        </w:r>
      </w:hyperlink>
    </w:p>
    <w:bookmarkEnd w:id="138"/>
    <w:bookmarkStart w:id="140"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w:t>
      </w:r>
      <w:r>
        <w:t xml:space="preserve"> </w:t>
      </w:r>
      <w:hyperlink r:id="rId139">
        <w:r>
          <w:rPr>
            <w:rStyle w:val="Hyperlink"/>
          </w:rPr>
          <w:t xml:space="preserve">https://doi.org/10.1111/nph.15906</w:t>
        </w:r>
      </w:hyperlink>
    </w:p>
    <w:bookmarkEnd w:id="140"/>
    <w:bookmarkStart w:id="142" w:name="ref-hember_tree_2019"/>
    <w:p>
      <w:pPr>
        <w:pStyle w:val="Bibliography"/>
      </w:pPr>
      <w:r>
        <w:t xml:space="preserve">Hember, R. A., Kurz, W. A., &amp; Girardin, M. P. (2019). Tree Ring Reconstructions of Stemwood Biomass Indicate Increases in the Growth Rate of Black Spruce Trees Across Boreal Forests of Canada.</w:t>
      </w:r>
      <w:r>
        <w:t xml:space="preserve"> </w:t>
      </w:r>
      <w:r>
        <w:rPr>
          <w:i/>
        </w:rPr>
        <w:t xml:space="preserve">Journal of Geophysical Research: Biogeosciences</w:t>
      </w:r>
      <w:r>
        <w:t xml:space="preserve">,</w:t>
      </w:r>
      <w:r>
        <w:t xml:space="preserve"> </w:t>
      </w:r>
      <w:r>
        <w:rPr>
          <w:i/>
        </w:rPr>
        <w:t xml:space="preserve">124</w:t>
      </w:r>
      <w:r>
        <w:t xml:space="preserve">(8), 2460–2480.</w:t>
      </w:r>
      <w:r>
        <w:t xml:space="preserve"> </w:t>
      </w:r>
      <w:hyperlink r:id="rId141">
        <w:r>
          <w:rPr>
            <w:rStyle w:val="Hyperlink"/>
          </w:rPr>
          <w:t xml:space="preserve">https://doi.org/10.1029/2018JG004573</w:t>
        </w:r>
      </w:hyperlink>
    </w:p>
    <w:bookmarkEnd w:id="142"/>
    <w:bookmarkStart w:id="143" w:name="ref-kaspar_species-specific_nodate"/>
    <w:p>
      <w:pPr>
        <w:pStyle w:val="Bibliography"/>
      </w:pPr>
      <w:r>
        <w:t xml:space="preserve">Kašpar, K., Tumajer, J., Vašíčková, I., &amp; Šamonil, P. (n.d.).</w:t>
      </w:r>
      <w:r>
        <w:t xml:space="preserve"> </w:t>
      </w:r>
      <w:r>
        <w:rPr>
          <w:i/>
        </w:rPr>
        <w:t xml:space="preserve">Species-specific climate-growth interactions determine the future tree species dynamics of the mixed Central European mountain forests</w:t>
      </w:r>
      <w:r>
        <w:t xml:space="preserve">.</w:t>
      </w:r>
    </w:p>
    <w:bookmarkEnd w:id="143"/>
    <w:bookmarkStart w:id="145"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w:t>
      </w:r>
      <w:r>
        <w:t xml:space="preserve"> </w:t>
      </w:r>
      <w:hyperlink r:id="rId144">
        <w:r>
          <w:rPr>
            <w:rStyle w:val="Hyperlink"/>
          </w:rPr>
          <w:t xml:space="preserve">https://doi.org/10.1038/s41467-018-07800-y</w:t>
        </w:r>
      </w:hyperlink>
    </w:p>
    <w:bookmarkEnd w:id="145"/>
    <w:bookmarkStart w:id="147" w:name="ref-klesse_amplifying_2020"/>
    <w:p>
      <w:pPr>
        <w:pStyle w:val="Bibliography"/>
      </w:pPr>
      <w:r>
        <w:t xml:space="preserve">Klesse, S., von Arx, G., Gossner, M. M., Hug, C., Rigling, A., &amp; Queloz, V. (2020). Amplifying feedback loop between growth and wood anatomical characteristics of Fraxinus excelsior explains size-related susceptibility to ash dieback.</w:t>
      </w:r>
      <w:r>
        <w:t xml:space="preserve"> </w:t>
      </w:r>
      <w:r>
        <w:rPr>
          <w:i/>
        </w:rPr>
        <w:t xml:space="preserve">Tree Physiology</w:t>
      </w:r>
      <w:r>
        <w:t xml:space="preserve">.</w:t>
      </w:r>
      <w:r>
        <w:t xml:space="preserve"> </w:t>
      </w:r>
      <w:hyperlink r:id="rId146">
        <w:r>
          <w:rPr>
            <w:rStyle w:val="Hyperlink"/>
          </w:rPr>
          <w:t xml:space="preserve">https://doi.org/10.1093/treephys/tpaa091</w:t>
        </w:r>
      </w:hyperlink>
    </w:p>
    <w:bookmarkEnd w:id="147"/>
    <w:bookmarkStart w:id="149"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w:t>
      </w:r>
      <w:r>
        <w:t xml:space="preserve"> </w:t>
      </w:r>
      <w:hyperlink r:id="rId148">
        <w:r>
          <w:rPr>
            <w:rStyle w:val="Hyperlink"/>
          </w:rPr>
          <w:t xml:space="preserve">https://doi.org/10.1111/nph.15668</w:t>
        </w:r>
      </w:hyperlink>
    </w:p>
    <w:bookmarkEnd w:id="149"/>
    <w:bookmarkStart w:id="151" w:name="ref-levesque_water_2017"/>
    <w:p>
      <w:pPr>
        <w:pStyle w:val="Bibliography"/>
      </w:pPr>
      <w:r>
        <w:t xml:space="preserve">Levesque, M., Andreu-Hayles, L., &amp; Pederson, N. (2017). Water availability drives gas exchange and growth of trees in northeastern US, not elevated CO</w:t>
      </w:r>
      <w:r>
        <w:rPr>
          <w:vertAlign w:val="subscript"/>
        </w:rPr>
        <w:t xml:space="preserve">2</w:t>
      </w:r>
      <w:r>
        <w:t xml:space="preserve"> </w:t>
      </w:r>
      <w:r>
        <w:t xml:space="preserve">and reduced acid deposition.</w:t>
      </w:r>
      <w:r>
        <w:t xml:space="preserve"> </w:t>
      </w:r>
      <w:r>
        <w:rPr>
          <w:i/>
        </w:rPr>
        <w:t xml:space="preserve">Scientific Reports</w:t>
      </w:r>
      <w:r>
        <w:t xml:space="preserve">,</w:t>
      </w:r>
      <w:r>
        <w:t xml:space="preserve"> </w:t>
      </w:r>
      <w:r>
        <w:rPr>
          <w:i/>
        </w:rPr>
        <w:t xml:space="preserve">7</w:t>
      </w:r>
      <w:r>
        <w:t xml:space="preserve">, 46158.</w:t>
      </w:r>
      <w:r>
        <w:t xml:space="preserve"> </w:t>
      </w:r>
      <w:hyperlink r:id="rId150">
        <w:r>
          <w:rPr>
            <w:rStyle w:val="Hyperlink"/>
          </w:rPr>
          <w:t xml:space="preserve">https://doi.org/10.1038/srep46158</w:t>
        </w:r>
      </w:hyperlink>
    </w:p>
    <w:bookmarkEnd w:id="151"/>
    <w:bookmarkStart w:id="153" w:name="ref-martinbenito_convergence_2015"/>
    <w:p>
      <w:pPr>
        <w:pStyle w:val="Bibliography"/>
      </w:pPr>
      <w:r>
        <w:t xml:space="preserve">Martin-Benito, D., &amp; Pederson, N. (2015). Convergence in drought stress, but a divergence of climatic drivers across a latitudinal gradient in a temperate broadleaf forest.</w:t>
      </w:r>
      <w:r>
        <w:t xml:space="preserve"> </w:t>
      </w:r>
      <w:r>
        <w:rPr>
          <w:i/>
        </w:rPr>
        <w:t xml:space="preserve">Journal of Biogeography</w:t>
      </w:r>
      <w:r>
        <w:t xml:space="preserve">,</w:t>
      </w:r>
      <w:r>
        <w:t xml:space="preserve"> </w:t>
      </w:r>
      <w:r>
        <w:rPr>
          <w:i/>
        </w:rPr>
        <w:t xml:space="preserve">42</w:t>
      </w:r>
      <w:r>
        <w:t xml:space="preserve">(5), 925–937.</w:t>
      </w:r>
      <w:r>
        <w:t xml:space="preserve"> </w:t>
      </w:r>
      <w:hyperlink r:id="rId152">
        <w:r>
          <w:rPr>
            <w:rStyle w:val="Hyperlink"/>
          </w:rPr>
          <w:t xml:space="preserve">https://doi.org/10.1111/jbi.12462</w:t>
        </w:r>
      </w:hyperlink>
    </w:p>
    <w:bookmarkEnd w:id="153"/>
    <w:bookmarkStart w:id="155" w:name="ref-mathias_disentangling_2018"/>
    <w:p>
      <w:pPr>
        <w:pStyle w:val="Bibliography"/>
      </w:pPr>
      <w:r>
        <w:t xml:space="preserve">Mathias, J. M., &amp; Thomas, R. B. (2018). Disentangling the effects of acidic air pollution, atmospheric CO</w:t>
      </w:r>
      <w:r>
        <w:t xml:space="preserve"> </w:t>
      </w:r>
      <w:r>
        <w:rPr>
          <w:vertAlign w:val="subscript"/>
        </w:rPr>
        <w:t xml:space="preserve">2</w:t>
      </w:r>
      <w:r>
        <w:t xml:space="preserve"> </w:t>
      </w:r>
      <w:r>
        <w:t xml:space="preserve">, and climate change on recent growth of red spruce trees in the Central Appalachian Mountains.</w:t>
      </w:r>
      <w:r>
        <w:t xml:space="preserve"> </w:t>
      </w:r>
      <w:r>
        <w:rPr>
          <w:i/>
        </w:rPr>
        <w:t xml:space="preserve">Global Change Biology</w:t>
      </w:r>
      <w:r>
        <w:t xml:space="preserve">.</w:t>
      </w:r>
      <w:r>
        <w:t xml:space="preserve"> </w:t>
      </w:r>
      <w:hyperlink r:id="rId154">
        <w:r>
          <w:rPr>
            <w:rStyle w:val="Hyperlink"/>
          </w:rPr>
          <w:t xml:space="preserve">https://doi.org/10.1111/gcb.14273</w:t>
        </w:r>
      </w:hyperlink>
    </w:p>
    <w:bookmarkEnd w:id="155"/>
    <w:bookmarkStart w:id="157"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w:t>
      </w:r>
      <w:r>
        <w:t xml:space="preserve"> </w:t>
      </w:r>
      <w:hyperlink r:id="rId156">
        <w:r>
          <w:rPr>
            <w:rStyle w:val="Hyperlink"/>
          </w:rPr>
          <w:t xml:space="preserve">https://doi.org/10.1007/s10584-016-1720-3</w:t>
        </w:r>
      </w:hyperlink>
    </w:p>
    <w:bookmarkEnd w:id="157"/>
    <w:bookmarkStart w:id="159"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
        </w:rPr>
        <w:t xml:space="preserve">Science</w:t>
      </w:r>
      <w:r>
        <w:t xml:space="preserve">,</w:t>
      </w:r>
      <w:r>
        <w:t xml:space="preserve"> </w:t>
      </w:r>
      <w:r>
        <w:rPr>
          <w:i/>
        </w:rPr>
        <w:t xml:space="preserve">368</w:t>
      </w:r>
      <w:r>
        <w:t xml:space="preserve">(6494).</w:t>
      </w:r>
      <w:r>
        <w:t xml:space="preserve"> </w:t>
      </w:r>
      <w:hyperlink r:id="rId158">
        <w:r>
          <w:rPr>
            <w:rStyle w:val="Hyperlink"/>
          </w:rPr>
          <w:t xml:space="preserve">https://doi.org/10.1126/science.aaz9463</w:t>
        </w:r>
      </w:hyperlink>
    </w:p>
    <w:bookmarkEnd w:id="159"/>
    <w:bookmarkStart w:id="161" w:name="ref-mcgregor_tree_2020"/>
    <w:p>
      <w:pPr>
        <w:pStyle w:val="Bibliography"/>
      </w:pPr>
      <w:r>
        <w:t xml:space="preserve">McGregor, I. R., Helcoski, R., Kunert, N., Tepley, A. J., Gonzalez-Akre, E. B., Herrmann, V., Zailaa, J., Stovall, A. E., Bourg, N. A., McShea, W. J., Pederson, N., Sack, L., &amp; Anderson-Teixeira, K. J. (2020). Tree height and leaf drought tolerance traits shape growth responses across droughts in a temperate broadleaf forest.</w:t>
      </w:r>
      <w:r>
        <w:t xml:space="preserve"> </w:t>
      </w:r>
      <w:r>
        <w:rPr>
          <w:i/>
        </w:rPr>
        <w:t xml:space="preserve">New Phytologist</w:t>
      </w:r>
      <w:r>
        <w:t xml:space="preserve">.</w:t>
      </w:r>
      <w:r>
        <w:t xml:space="preserve"> </w:t>
      </w:r>
      <w:hyperlink r:id="rId160">
        <w:r>
          <w:rPr>
            <w:rStyle w:val="Hyperlink"/>
          </w:rPr>
          <w:t xml:space="preserve">https://doi.org/10.1111/nph.16996</w:t>
        </w:r>
      </w:hyperlink>
    </w:p>
    <w:bookmarkEnd w:id="161"/>
    <w:bookmarkStart w:id="163" w:name="ref-meakem_role_2018"/>
    <w:p>
      <w:pPr>
        <w:pStyle w:val="Bibliography"/>
      </w:pPr>
      <w:r>
        <w:t xml:space="preserve">Meakem, V., Tepley, A. J., Gonzalez-Akre, E. B., Herrmann, V., Muller-Landau, H. C., Wright, S. J., Hubbell, S. P., Condit, R., &amp; Anderson-Teixeira, K. J. (2018). Role of tree size in moist tropical forest carbon cycling and water deficit responses.</w:t>
      </w:r>
      <w:r>
        <w:t xml:space="preserve"> </w:t>
      </w:r>
      <w:r>
        <w:rPr>
          <w:i/>
        </w:rPr>
        <w:t xml:space="preserve">New Phytologist</w:t>
      </w:r>
      <w:r>
        <w:t xml:space="preserve">,</w:t>
      </w:r>
      <w:r>
        <w:t xml:space="preserve"> </w:t>
      </w:r>
      <w:r>
        <w:rPr>
          <w:i/>
        </w:rPr>
        <w:t xml:space="preserve">219</w:t>
      </w:r>
      <w:r>
        <w:t xml:space="preserve">(3), 947–958.</w:t>
      </w:r>
      <w:r>
        <w:t xml:space="preserve"> </w:t>
      </w:r>
      <w:hyperlink r:id="rId162">
        <w:r>
          <w:rPr>
            <w:rStyle w:val="Hyperlink"/>
          </w:rPr>
          <w:t xml:space="preserve">https://doi.org/10.1111/nph.14633</w:t>
        </w:r>
      </w:hyperlink>
    </w:p>
    <w:bookmarkEnd w:id="163"/>
    <w:bookmarkStart w:id="165" w:name="ref-meko_seascorr_2011"/>
    <w:p>
      <w:pPr>
        <w:pStyle w:val="Bibliography"/>
      </w:pPr>
      <w:r>
        <w:t xml:space="preserve">Meko, D. M., Touchan, R., &amp; Anchukaitis, K. J. (2011). Seascorr: A MATLAB program for identifying the seasonal climate signal in an annual tree-ring time series.</w:t>
      </w:r>
      <w:r>
        <w:t xml:space="preserve"> </w:t>
      </w:r>
      <w:r>
        <w:rPr>
          <w:i/>
        </w:rPr>
        <w:t xml:space="preserve">Computers &amp; Geosciences</w:t>
      </w:r>
      <w:r>
        <w:t xml:space="preserve">,</w:t>
      </w:r>
      <w:r>
        <w:t xml:space="preserve"> </w:t>
      </w:r>
      <w:r>
        <w:rPr>
          <w:i/>
        </w:rPr>
        <w:t xml:space="preserve">37</w:t>
      </w:r>
      <w:r>
        <w:t xml:space="preserve">(9), 1234–1241.</w:t>
      </w:r>
      <w:r>
        <w:t xml:space="preserve"> </w:t>
      </w:r>
      <w:hyperlink r:id="rId164">
        <w:r>
          <w:rPr>
            <w:rStyle w:val="Hyperlink"/>
          </w:rPr>
          <w:t xml:space="preserve">https://doi.org/10.1016/j.cageo.2011.01.013</w:t>
        </w:r>
      </w:hyperlink>
    </w:p>
    <w:bookmarkEnd w:id="165"/>
    <w:bookmarkStart w:id="166" w:name="ref-muller-landau_testing_2006"/>
    <w:p>
      <w:pPr>
        <w:pStyle w:val="Bibliography"/>
      </w:pPr>
      <w:r>
        <w:t xml:space="preserve">Muller-Landau, H., Condit, R., Chave, J., Thomas, S., Bohlman, S., Bunyavejchewin, S., Davies, S., Foster, R., Gunatilleke, S., Gunatilleke, N., Harms, K., Hart, T., Hubbell, S., Itoh, A., Kassim, A., LaFrankie, J., Lee, H., Losos, E., Makana, J.-R.,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66"/>
    <w:bookmarkStart w:id="168"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
        </w:rPr>
        <w:t xml:space="preserve">Global Change Biology</w:t>
      </w:r>
      <w:r>
        <w:t xml:space="preserve">,</w:t>
      </w:r>
      <w:r>
        <w:t xml:space="preserve"> </w:t>
      </w:r>
      <w:r>
        <w:rPr>
          <w:i/>
        </w:rPr>
        <w:t xml:space="preserve">20</w:t>
      </w:r>
      <w:r>
        <w:t xml:space="preserve">(9), 2867–2885.</w:t>
      </w:r>
      <w:r>
        <w:t xml:space="preserve"> </w:t>
      </w:r>
      <w:hyperlink r:id="rId167">
        <w:r>
          <w:rPr>
            <w:rStyle w:val="Hyperlink"/>
          </w:rPr>
          <w:t xml:space="preserve">https://doi.org/10.1111/gcb.12599</w:t>
        </w:r>
      </w:hyperlink>
    </w:p>
    <w:bookmarkEnd w:id="168"/>
    <w:bookmarkStart w:id="170" w:name="ref-nock_longterm_2011"/>
    <w:p>
      <w:pPr>
        <w:pStyle w:val="Bibliography"/>
      </w:pPr>
      <w:r>
        <w:t xml:space="preserve">Nock, C. A., Baker, P. J., Wanek, W., Leis, A., Grabner, M., Bunyavejchewin, S., &amp; Hietz, P. (2011). Long-term increases in intrinsic water-use efficiency do not lead to increased stem growth in a tropical monsoon forest in western Thailand.</w:t>
      </w:r>
      <w:r>
        <w:t xml:space="preserve"> </w:t>
      </w:r>
      <w:r>
        <w:rPr>
          <w:i/>
        </w:rPr>
        <w:t xml:space="preserve">Global Change Biology</w:t>
      </w:r>
      <w:r>
        <w:t xml:space="preserve">,</w:t>
      </w:r>
      <w:r>
        <w:t xml:space="preserve"> </w:t>
      </w:r>
      <w:r>
        <w:rPr>
          <w:i/>
        </w:rPr>
        <w:t xml:space="preserve">17</w:t>
      </w:r>
      <w:r>
        <w:t xml:space="preserve">(2), 1049–1063.</w:t>
      </w:r>
      <w:r>
        <w:t xml:space="preserve"> </w:t>
      </w:r>
      <w:hyperlink r:id="rId169">
        <w:r>
          <w:rPr>
            <w:rStyle w:val="Hyperlink"/>
          </w:rPr>
          <w:t xml:space="preserve">https://doi.org/10.1111/j.1365-2486.2010.02222.x</w:t>
        </w:r>
      </w:hyperlink>
    </w:p>
    <w:bookmarkEnd w:id="170"/>
    <w:bookmarkStart w:id="172" w:name="ref-peltier_tree_2020"/>
    <w:p>
      <w:pPr>
        <w:pStyle w:val="Bibliography"/>
      </w:pPr>
      <w:r>
        <w:t xml:space="preserve">Peltier, D. M. P., &amp; Ogle, K. (2020). Tree growth sensitivity to climate is temporally variable.</w:t>
      </w:r>
      <w:r>
        <w:t xml:space="preserve"> </w:t>
      </w:r>
      <w:r>
        <w:rPr>
          <w:i/>
        </w:rPr>
        <w:t xml:space="preserve">Ecology Letters</w:t>
      </w:r>
      <w:r>
        <w:t xml:space="preserve">,</w:t>
      </w:r>
      <w:r>
        <w:t xml:space="preserve"> </w:t>
      </w:r>
      <w:r>
        <w:rPr>
          <w:i/>
        </w:rPr>
        <w:t xml:space="preserve">23</w:t>
      </w:r>
      <w:r>
        <w:t xml:space="preserve">(11), 1561–1572.</w:t>
      </w:r>
      <w:r>
        <w:t xml:space="preserve"> </w:t>
      </w:r>
      <w:hyperlink r:id="rId171">
        <w:r>
          <w:rPr>
            <w:rStyle w:val="Hyperlink"/>
          </w:rPr>
          <w:t xml:space="preserve">https://doi.org/10.1111/ele.13575</w:t>
        </w:r>
      </w:hyperlink>
    </w:p>
    <w:bookmarkEnd w:id="172"/>
    <w:bookmarkStart w:id="174"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w:t>
      </w:r>
      <w:r>
        <w:t xml:space="preserve"> </w:t>
      </w:r>
      <w:hyperlink r:id="rId173">
        <w:r>
          <w:rPr>
            <w:rStyle w:val="Hyperlink"/>
          </w:rPr>
          <w:t xml:space="preserve">https://doi.org/10.1111/gcb.12826</w:t>
        </w:r>
      </w:hyperlink>
    </w:p>
    <w:bookmarkEnd w:id="174"/>
    <w:bookmarkStart w:id="175" w:name="ref-pregitzer_carbon_2004"/>
    <w:p>
      <w:pPr>
        <w:pStyle w:val="Bibliography"/>
      </w:pPr>
      <w:r>
        <w:t xml:space="preserve">Pregitzer, K., &amp; Euskirchen, E. (2004). Carbon cycling and storage in world forests: Biome patterns related to forest age.</w:t>
      </w:r>
      <w:r>
        <w:t xml:space="preserve"> </w:t>
      </w:r>
      <w:r>
        <w:rPr>
          <w:i/>
        </w:rPr>
        <w:t xml:space="preserve">Global Change Biology</w:t>
      </w:r>
      <w:r>
        <w:t xml:space="preserve">,</w:t>
      </w:r>
      <w:r>
        <w:t xml:space="preserve"> </w:t>
      </w:r>
      <w:r>
        <w:rPr>
          <w:i/>
        </w:rPr>
        <w:t xml:space="preserve">10</w:t>
      </w:r>
      <w:r>
        <w:t xml:space="preserve">(12), 2052–2077.</w:t>
      </w:r>
    </w:p>
    <w:bookmarkEnd w:id="175"/>
    <w:bookmarkStart w:id="177" w:name="ref-pretzsch_drought_2018"/>
    <w:p>
      <w:pPr>
        <w:pStyle w:val="Bibliography"/>
      </w:pPr>
      <w:r>
        <w:t xml:space="preserve">Pretzsch, H., Schütze, G., &amp; Biber, P. (2018). Drought can favour the growth of small in relation to tall trees in mature stands of Norway spruce and European beech.</w:t>
      </w:r>
      <w:r>
        <w:t xml:space="preserve"> </w:t>
      </w:r>
      <w:r>
        <w:rPr>
          <w:i/>
        </w:rPr>
        <w:t xml:space="preserve">Forest Ecosystems</w:t>
      </w:r>
      <w:r>
        <w:t xml:space="preserve">,</w:t>
      </w:r>
      <w:r>
        <w:t xml:space="preserve"> </w:t>
      </w:r>
      <w:r>
        <w:rPr>
          <w:i/>
        </w:rPr>
        <w:t xml:space="preserve">5</w:t>
      </w:r>
      <w:r>
        <w:t xml:space="preserve">(1), 20.</w:t>
      </w:r>
      <w:r>
        <w:t xml:space="preserve"> </w:t>
      </w:r>
      <w:hyperlink r:id="rId176">
        <w:r>
          <w:rPr>
            <w:rStyle w:val="Hyperlink"/>
          </w:rPr>
          <w:t xml:space="preserve">https://doi.org/10.1186/s40663-018-0139-x</w:t>
        </w:r>
      </w:hyperlink>
    </w:p>
    <w:bookmarkEnd w:id="177"/>
    <w:bookmarkStart w:id="179" w:name="ref-rayback_dendroecological_2020"/>
    <w:p>
      <w:pPr>
        <w:pStyle w:val="Bibliography"/>
      </w:pPr>
      <w:r>
        <w:t xml:space="preserve">Rayback, S. A., Duncan, J. A., Schaberg, P. G., Kosiba, A. M., Hansen, C. F., &amp; Murakami, P. F. (2020). The DendroEcological Network: A 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w:t>
      </w:r>
      <w:r>
        <w:t xml:space="preserve"> </w:t>
      </w:r>
      <w:hyperlink r:id="rId178">
        <w:r>
          <w:rPr>
            <w:rStyle w:val="Hyperlink"/>
          </w:rPr>
          <w:t xml:space="preserve">https://doi.org/10.1016/j.dendro.2020.125678</w:t>
        </w:r>
      </w:hyperlink>
    </w:p>
    <w:bookmarkEnd w:id="179"/>
    <w:bookmarkStart w:id="181"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w:t>
      </w:r>
      <w:r>
        <w:t xml:space="preserve"> </w:t>
      </w:r>
      <w:hyperlink r:id="rId180">
        <w:r>
          <w:rPr>
            <w:rStyle w:val="Hyperlink"/>
          </w:rPr>
          <w:t xml:space="preserve">https://doi.org/10.1111/2041-210X.12753</w:t>
        </w:r>
      </w:hyperlink>
    </w:p>
    <w:bookmarkEnd w:id="181"/>
    <w:bookmarkStart w:id="183" w:name="ref-rollinson_climate_nodate"/>
    <w:p>
      <w:pPr>
        <w:pStyle w:val="Bibliography"/>
      </w:pPr>
      <w:r>
        <w:t xml:space="preserve">Rollinson, C. R., Alexander, M. R., Dye, A. W., Moore, D. J. P., Pederson, N., &amp; Trouet, V. (n.d.). Climate sensitivity of understory trees differs from overstory trees in temperate mesic forests.</w:t>
      </w:r>
      <w:r>
        <w:t xml:space="preserve"> </w:t>
      </w:r>
      <w:r>
        <w:rPr>
          <w:i/>
        </w:rPr>
        <w:t xml:space="preserve">Ecology</w:t>
      </w:r>
      <w:r>
        <w:t xml:space="preserve">,</w:t>
      </w:r>
      <w:r>
        <w:t xml:space="preserve"> </w:t>
      </w:r>
      <w:r>
        <w:rPr>
          <w:i/>
        </w:rPr>
        <w:t xml:space="preserve">n/a</w:t>
      </w:r>
      <w:r>
        <w:t xml:space="preserve">(n/a), e03264.</w:t>
      </w:r>
      <w:r>
        <w:t xml:space="preserve"> </w:t>
      </w:r>
      <w:hyperlink r:id="rId182">
        <w:r>
          <w:rPr>
            <w:rStyle w:val="Hyperlink"/>
          </w:rPr>
          <w:t xml:space="preserve">https://doi.org/10.1002/ecy.3264</w:t>
        </w:r>
      </w:hyperlink>
    </w:p>
    <w:bookmarkEnd w:id="183"/>
    <w:bookmarkStart w:id="185" w:name="ref-rossi_age-dependent_2007"/>
    <w:p>
      <w:pPr>
        <w:pStyle w:val="Bibliography"/>
      </w:pPr>
      <w:r>
        <w:t xml:space="preserve">Rossi, S., Deslauriers, A., Anfodillo, T., &amp; Carrer, M. (2007). Age-dependent xylogenesis in timberline conifers.</w:t>
      </w:r>
      <w:r>
        <w:t xml:space="preserve"> </w:t>
      </w:r>
      <w:r>
        <w:rPr>
          <w:i/>
        </w:rPr>
        <w:t xml:space="preserve">New Phytologist</w:t>
      </w:r>
      <w:r>
        <w:t xml:space="preserve">,</w:t>
      </w:r>
      <w:r>
        <w:t xml:space="preserve"> </w:t>
      </w:r>
      <w:r>
        <w:rPr>
          <w:i/>
        </w:rPr>
        <w:t xml:space="preserve">0</w:t>
      </w:r>
      <w:r>
        <w:t xml:space="preserve">(0), 071018051611001–???</w:t>
      </w:r>
      <w:r>
        <w:t xml:space="preserve"> </w:t>
      </w:r>
      <w:hyperlink r:id="rId184">
        <w:r>
          <w:rPr>
            <w:rStyle w:val="Hyperlink"/>
          </w:rPr>
          <w:t xml:space="preserve">https://doi.org/10.1111/j.1469-8137.2007.02235.x</w:t>
        </w:r>
      </w:hyperlink>
    </w:p>
    <w:bookmarkEnd w:id="185"/>
    <w:bookmarkStart w:id="187"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 A retrospective and dynamic approach in Scots pine.</w:t>
      </w:r>
      <w:r>
        <w:t xml:space="preserve"> </w:t>
      </w:r>
      <w:r>
        <w:rPr>
          <w:i/>
        </w:rPr>
        <w:t xml:space="preserve">Forest Ecology and Management</w:t>
      </w:r>
      <w:r>
        <w:t xml:space="preserve">,</w:t>
      </w:r>
      <w:r>
        <w:t xml:space="preserve"> </w:t>
      </w:r>
      <w:r>
        <w:rPr>
          <w:i/>
        </w:rPr>
        <w:t xml:space="preserve">358</w:t>
      </w:r>
      <w:r>
        <w:t xml:space="preserve">, 12–25.</w:t>
      </w:r>
      <w:r>
        <w:t xml:space="preserve"> </w:t>
      </w:r>
      <w:hyperlink r:id="rId186">
        <w:r>
          <w:rPr>
            <w:rStyle w:val="Hyperlink"/>
          </w:rPr>
          <w:t xml:space="preserve">https://doi.org/10.1016/j.foreco.2015.08.034</w:t>
        </w:r>
      </w:hyperlink>
    </w:p>
    <w:bookmarkEnd w:id="187"/>
    <w:bookmarkStart w:id="189" w:name="ref-schelhaas_species-specific_2018"/>
    <w:p>
      <w:pPr>
        <w:pStyle w:val="Bibliography"/>
      </w:pPr>
      <w:r>
        <w:t xml:space="preserve">Schelhaas, M.-J., Hengeveld, G. M., Heidema, N., Thürig, E., Rohner, B., Vacchiano, G., Vayreda, J., Redmond, J., Socha, J., Fridman, J., Tomter, S., Polley, H., Barreiro, S., &amp; Nabuurs, G.-J. (2018). Species-specific, pan-European diameter increment models based on data of 2.3 million trees.</w:t>
      </w:r>
      <w:r>
        <w:t xml:space="preserve"> </w:t>
      </w:r>
      <w:r>
        <w:rPr>
          <w:i/>
        </w:rPr>
        <w:t xml:space="preserve">Forest Ecosystems</w:t>
      </w:r>
      <w:r>
        <w:t xml:space="preserve">,</w:t>
      </w:r>
      <w:r>
        <w:t xml:space="preserve"> </w:t>
      </w:r>
      <w:r>
        <w:rPr>
          <w:i/>
        </w:rPr>
        <w:t xml:space="preserve">5</w:t>
      </w:r>
      <w:r>
        <w:t xml:space="preserve">(1).</w:t>
      </w:r>
      <w:r>
        <w:t xml:space="preserve"> </w:t>
      </w:r>
      <w:hyperlink r:id="rId188">
        <w:r>
          <w:rPr>
            <w:rStyle w:val="Hyperlink"/>
          </w:rPr>
          <w:t xml:space="preserve">https://doi.org/10.1186/s40663-018-0133-3</w:t>
        </w:r>
      </w:hyperlink>
    </w:p>
    <w:bookmarkEnd w:id="189"/>
    <w:bookmarkStart w:id="191" w:name="ref-sheil_does_2017"/>
    <w:p>
      <w:pPr>
        <w:pStyle w:val="Bibliography"/>
      </w:pPr>
      <w:r>
        <w:t xml:space="preserve">Sheil, D., Eastaugh, C. S., Vlam, M., Zuidema, P. A., Groenendijk, P., van der Sleen, P., Jay, A., &amp; Vanclay, J. (2017). Does biomass growth increase in the largest trees? Flaws, fallacies and alternative analyses.</w:t>
      </w:r>
      <w:r>
        <w:t xml:space="preserve"> </w:t>
      </w:r>
      <w:r>
        <w:rPr>
          <w:i/>
        </w:rPr>
        <w:t xml:space="preserve">Functional Ecology</w:t>
      </w:r>
      <w:r>
        <w:t xml:space="preserve">,</w:t>
      </w:r>
      <w:r>
        <w:t xml:space="preserve"> </w:t>
      </w:r>
      <w:r>
        <w:rPr>
          <w:i/>
        </w:rPr>
        <w:t xml:space="preserve">31</w:t>
      </w:r>
      <w:r>
        <w:t xml:space="preserve">(3), 568–581.</w:t>
      </w:r>
      <w:r>
        <w:t xml:space="preserve"> </w:t>
      </w:r>
      <w:hyperlink r:id="rId190">
        <w:r>
          <w:rPr>
            <w:rStyle w:val="Hyperlink"/>
          </w:rPr>
          <w:t xml:space="preserve">https://doi.org/10.1111/1365-2435.12775</w:t>
        </w:r>
      </w:hyperlink>
    </w:p>
    <w:bookmarkEnd w:id="191"/>
    <w:bookmarkStart w:id="193"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w:t>
      </w:r>
      <w:r>
        <w:t xml:space="preserve"> </w:t>
      </w:r>
      <w:hyperlink r:id="rId192">
        <w:r>
          <w:rPr>
            <w:rStyle w:val="Hyperlink"/>
          </w:rPr>
          <w:t xml:space="preserve">https://doi.org/10.1002/2016JG003528</w:t>
        </w:r>
      </w:hyperlink>
    </w:p>
    <w:bookmarkEnd w:id="193"/>
    <w:bookmarkStart w:id="194" w:name="ref-speer_fundamentals_2010"/>
    <w:p>
      <w:pPr>
        <w:pStyle w:val="Bibliography"/>
      </w:pPr>
      <w:r>
        <w:t xml:space="preserve">Speer, J. H. (2010).</w:t>
      </w:r>
      <w:r>
        <w:t xml:space="preserve"> </w:t>
      </w:r>
      <w:r>
        <w:rPr>
          <w:i/>
        </w:rPr>
        <w:t xml:space="preserve">Fundamentals of tree-ring research</w:t>
      </w:r>
      <w:r>
        <w:t xml:space="preserve">. Univ. of Arizona Press.</w:t>
      </w:r>
    </w:p>
    <w:bookmarkEnd w:id="194"/>
    <w:bookmarkStart w:id="196"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w:t>
      </w:r>
      <w:r>
        <w:t xml:space="preserve"> </w:t>
      </w:r>
      <w:hyperlink r:id="rId195">
        <w:r>
          <w:rPr>
            <w:rStyle w:val="Hyperlink"/>
          </w:rPr>
          <w:t xml:space="preserve">https://doi.org/10.1038/nature12914</w:t>
        </w:r>
      </w:hyperlink>
    </w:p>
    <w:bookmarkEnd w:id="196"/>
    <w:bookmarkStart w:id="197" w:name="ref-stokes_introduction_1968"/>
    <w:p>
      <w:pPr>
        <w:pStyle w:val="Bibliography"/>
      </w:pPr>
      <w:r>
        <w:t xml:space="preserve">Stokes, M. A. (1968).</w:t>
      </w:r>
      <w:r>
        <w:t xml:space="preserve"> </w:t>
      </w:r>
      <w:r>
        <w:rPr>
          <w:i/>
        </w:rPr>
        <w:t xml:space="preserve">An Introduction to Tree-ring Dating</w:t>
      </w:r>
      <w:r>
        <w:t xml:space="preserve">. University of Arizona Press.</w:t>
      </w:r>
    </w:p>
    <w:bookmarkEnd w:id="197"/>
    <w:bookmarkStart w:id="199"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 Earth’s tropical forests.</w:t>
      </w:r>
      <w:r>
        <w:t xml:space="preserve"> </w:t>
      </w:r>
      <w:r>
        <w:rPr>
          <w:i/>
        </w:rPr>
        <w:t xml:space="preserve">Science</w:t>
      </w:r>
      <w:r>
        <w:t xml:space="preserve">,</w:t>
      </w:r>
      <w:r>
        <w:t xml:space="preserve"> </w:t>
      </w:r>
      <w:r>
        <w:rPr>
          <w:i/>
        </w:rPr>
        <w:t xml:space="preserve">368</w:t>
      </w:r>
      <w:r>
        <w:t xml:space="preserve">(6493), 869–874.</w:t>
      </w:r>
      <w:r>
        <w:t xml:space="preserve"> </w:t>
      </w:r>
      <w:hyperlink r:id="rId198">
        <w:r>
          <w:rPr>
            <w:rStyle w:val="Hyperlink"/>
          </w:rPr>
          <w:t xml:space="preserve">https://doi.org/10.1126/science.aaw7578</w:t>
        </w:r>
      </w:hyperlink>
    </w:p>
    <w:bookmarkEnd w:id="199"/>
    <w:bookmarkStart w:id="201" w:name="ref-sullivan_effect_2016"/>
    <w:p>
      <w:pPr>
        <w:pStyle w:val="Bibliography"/>
      </w:pPr>
      <w:r>
        <w:t xml:space="preserve">Sullivan, P. F., Pattison, R. R., Brownlee, A. H., Cahoon, S. M. P., &amp; Hollingsworth, T. N. (2016). Effect of tree-ring detrending method on apparent growth trends of black and white spruce in interior Alaska.</w:t>
      </w:r>
      <w:r>
        <w:t xml:space="preserve"> </w:t>
      </w:r>
      <w:r>
        <w:rPr>
          <w:i/>
        </w:rPr>
        <w:t xml:space="preserve">Environmental Research Letters</w:t>
      </w:r>
      <w:r>
        <w:t xml:space="preserve">,</w:t>
      </w:r>
      <w:r>
        <w:t xml:space="preserve"> </w:t>
      </w:r>
      <w:r>
        <w:rPr>
          <w:i/>
        </w:rPr>
        <w:t xml:space="preserve">11</w:t>
      </w:r>
      <w:r>
        <w:t xml:space="preserve">(11), 114007.</w:t>
      </w:r>
      <w:r>
        <w:t xml:space="preserve"> </w:t>
      </w:r>
      <w:hyperlink r:id="rId200">
        <w:r>
          <w:rPr>
            <w:rStyle w:val="Hyperlink"/>
          </w:rPr>
          <w:t xml:space="preserve">https://doi.org/10.1088/1748-9326/11/11/114007</w:t>
        </w:r>
      </w:hyperlink>
    </w:p>
    <w:bookmarkEnd w:id="201"/>
    <w:bookmarkStart w:id="203"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w:t>
      </w:r>
      <w:r>
        <w:t xml:space="preserve"> </w:t>
      </w:r>
      <w:hyperlink r:id="rId202">
        <w:r>
          <w:rPr>
            <w:rStyle w:val="Hyperlink"/>
          </w:rPr>
          <w:t xml:space="preserve">https://doi.org/10.1111/jvs.12025</w:t>
        </w:r>
      </w:hyperlink>
    </w:p>
    <w:bookmarkEnd w:id="203"/>
    <w:bookmarkStart w:id="205"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w:t>
      </w:r>
      <w:r>
        <w:t xml:space="preserve"> </w:t>
      </w:r>
      <w:hyperlink r:id="rId204">
        <w:r>
          <w:rPr>
            <w:rStyle w:val="Hyperlink"/>
          </w:rPr>
          <w:t xml:space="preserve">https://doi.org/10.1016/j.agrformet.2017.08.007</w:t>
        </w:r>
      </w:hyperlink>
    </w:p>
    <w:bookmarkEnd w:id="205"/>
    <w:bookmarkStart w:id="207"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w:t>
      </w:r>
      <w:r>
        <w:t xml:space="preserve"> </w:t>
      </w:r>
      <w:hyperlink r:id="rId206">
        <w:r>
          <w:rPr>
            <w:rStyle w:val="Hyperlink"/>
          </w:rPr>
          <w:t xml:space="preserve">https://doi.org/10.1111/gcb.14120</w:t>
        </w:r>
      </w:hyperlink>
    </w:p>
    <w:bookmarkEnd w:id="207"/>
    <w:bookmarkStart w:id="209" w:name="ref-meinzer_age-related_2011"/>
    <w:p>
      <w:pPr>
        <w:pStyle w:val="Bibliography"/>
      </w:pPr>
      <w:r>
        <w:t xml:space="preserve">Thomas, S. C. (2011). Age-Related Changes in Tree Growth and Functional Biology: The Role of Reproduction. In F. C. Meinzer, B. Lachenbruch, &amp; T. E. Dawson (Eds.),</w:t>
      </w:r>
      <w:r>
        <w:t xml:space="preserve"> </w:t>
      </w:r>
      <w:r>
        <w:rPr>
          <w:i/>
        </w:rPr>
        <w:t xml:space="preserve">Size- and Age-Related Changes in Tree Structure and Function</w:t>
      </w:r>
      <w:r>
        <w:t xml:space="preserve"> </w:t>
      </w:r>
      <w:r>
        <w:t xml:space="preserve">(Vol. 4, pp. 33–64). Springer Netherlands.</w:t>
      </w:r>
      <w:r>
        <w:t xml:space="preserve"> </w:t>
      </w:r>
      <w:hyperlink r:id="rId208">
        <w:r>
          <w:rPr>
            <w:rStyle w:val="Hyperlink"/>
          </w:rPr>
          <w:t xml:space="preserve">https://doi.org/10.1007/978-94-007-1242-3_2</w:t>
        </w:r>
      </w:hyperlink>
    </w:p>
    <w:bookmarkEnd w:id="209"/>
    <w:bookmarkStart w:id="211"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w:t>
      </w:r>
      <w:r>
        <w:t xml:space="preserve"> </w:t>
      </w:r>
      <w:hyperlink r:id="rId210">
        <w:r>
          <w:rPr>
            <w:rStyle w:val="Hyperlink"/>
          </w:rPr>
          <w:t xml:space="preserve">https://doi.org/10.5194/cp-9-1481-2013</w:t>
        </w:r>
      </w:hyperlink>
    </w:p>
    <w:bookmarkEnd w:id="211"/>
    <w:bookmarkStart w:id="213"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w:t>
      </w:r>
      <w:r>
        <w:t xml:space="preserve"> </w:t>
      </w:r>
      <w:hyperlink r:id="rId212">
        <w:r>
          <w:rPr>
            <w:rStyle w:val="Hyperlink"/>
          </w:rPr>
          <w:t xml:space="preserve">https://doi.org/10.1016/j.agrformet.2017.07.015</w:t>
        </w:r>
      </w:hyperlink>
    </w:p>
    <w:bookmarkEnd w:id="213"/>
    <w:bookmarkStart w:id="215"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w:t>
      </w:r>
      <w:r>
        <w:t xml:space="preserve"> </w:t>
      </w:r>
      <w:hyperlink r:id="rId214">
        <w:r>
          <w:rPr>
            <w:rStyle w:val="Hyperlink"/>
          </w:rPr>
          <w:t xml:space="preserve">https://doi.org/10.1111/2041-210X.12590</w:t>
        </w:r>
      </w:hyperlink>
    </w:p>
    <w:bookmarkEnd w:id="215"/>
    <w:bookmarkStart w:id="217" w:name="ref-van_der_sleen_no_2015"/>
    <w:p>
      <w:pPr>
        <w:pStyle w:val="Bibliography"/>
      </w:pPr>
      <w:r>
        <w:t xml:space="preserve">van der Sleen, P., Groenendijk, P., Vlam, M., Anten, N. P. R., Boom, A., Bongers, F., Pons, T. L., Terburg, G., &amp; Zuidema, P. A. (2015). No growth stimulation of tropical trees by 150 years of CO2 fertilization but water-use efficiency increased.</w:t>
      </w:r>
      <w:r>
        <w:t xml:space="preserve"> </w:t>
      </w:r>
      <w:r>
        <w:rPr>
          <w:i/>
        </w:rPr>
        <w:t xml:space="preserve">Nature Geoscience</w:t>
      </w:r>
      <w:r>
        <w:t xml:space="preserve">,</w:t>
      </w:r>
      <w:r>
        <w:t xml:space="preserve"> </w:t>
      </w:r>
      <w:r>
        <w:rPr>
          <w:i/>
        </w:rPr>
        <w:t xml:space="preserve">8</w:t>
      </w:r>
      <w:r>
        <w:t xml:space="preserve">(1), 24–28.</w:t>
      </w:r>
      <w:r>
        <w:t xml:space="preserve"> </w:t>
      </w:r>
      <w:hyperlink r:id="rId216">
        <w:r>
          <w:rPr>
            <w:rStyle w:val="Hyperlink"/>
          </w:rPr>
          <w:t xml:space="preserve">https://doi.org/10.1038/ngeo2313</w:t>
        </w:r>
      </w:hyperlink>
    </w:p>
    <w:bookmarkEnd w:id="217"/>
    <w:bookmarkStart w:id="219"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w:t>
      </w:r>
      <w:r>
        <w:t xml:space="preserve"> </w:t>
      </w:r>
      <w:hyperlink r:id="rId218">
        <w:r>
          <w:rPr>
            <w:rStyle w:val="Hyperlink"/>
          </w:rPr>
          <w:t xml:space="preserve">https://doi.org/10.1007/s00442-013-2846-x</w:t>
        </w:r>
      </w:hyperlink>
    </w:p>
    <w:bookmarkEnd w:id="219"/>
    <w:bookmarkStart w:id="221"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 CO2.</w:t>
      </w:r>
      <w:r>
        <w:t xml:space="preserve"> </w:t>
      </w:r>
      <w:r>
        <w:rPr>
          <w:i/>
        </w:rPr>
        <w:t xml:space="preserve">New Phytologist</w:t>
      </w:r>
      <w:r>
        <w:t xml:space="preserve">,</w:t>
      </w:r>
      <w:r>
        <w:t xml:space="preserve"> </w:t>
      </w:r>
      <w:r>
        <w:rPr>
          <w:i/>
        </w:rPr>
        <w:t xml:space="preserve">n/a</w:t>
      </w:r>
      <w:r>
        <w:t xml:space="preserve">(n/a).</w:t>
      </w:r>
      <w:r>
        <w:t xml:space="preserve"> </w:t>
      </w:r>
      <w:hyperlink r:id="rId220">
        <w:r>
          <w:rPr>
            <w:rStyle w:val="Hyperlink"/>
          </w:rPr>
          <w:t xml:space="preserve">https://doi.org/10.1111/nph.16866</w:t>
        </w:r>
      </w:hyperlink>
    </w:p>
    <w:bookmarkEnd w:id="221"/>
    <w:bookmarkStart w:id="223" w:name="ref-woodhouse_artificial_1999"/>
    <w:p>
      <w:pPr>
        <w:pStyle w:val="Bibliography"/>
      </w:pPr>
      <w:r>
        <w:t xml:space="preserve">Woodhouse, C. A. (1999). Artificial neural networks and dendroclimatic reconstructions: An example from the Front Range, Colorado, USA:</w:t>
      </w:r>
      <w:r>
        <w:t xml:space="preserve"> </w:t>
      </w:r>
      <w:r>
        <w:rPr>
          <w:i/>
        </w:rPr>
        <w:t xml:space="preserve">The Holocene</w:t>
      </w:r>
      <w:r>
        <w:t xml:space="preserve">.</w:t>
      </w:r>
      <w:r>
        <w:t xml:space="preserve"> </w:t>
      </w:r>
      <w:hyperlink r:id="rId222">
        <w:r>
          <w:rPr>
            <w:rStyle w:val="Hyperlink"/>
          </w:rPr>
          <w:t xml:space="preserve">https://doi.org/10.1191/095968399667128516</w:t>
        </w:r>
      </w:hyperlink>
    </w:p>
    <w:bookmarkEnd w:id="223"/>
    <w:bookmarkStart w:id="225" w:name="ref-zang_treeclim_2015"/>
    <w:p>
      <w:pPr>
        <w:pStyle w:val="Bibliography"/>
      </w:pPr>
      <w:r>
        <w:t xml:space="preserve">Zang, C., &amp; Biondi, F. (2015). Treeclim : An R 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w:t>
      </w:r>
      <w:r>
        <w:t xml:space="preserve"> </w:t>
      </w:r>
      <w:hyperlink r:id="rId224">
        <w:r>
          <w:rPr>
            <w:rStyle w:val="Hyperlink"/>
          </w:rPr>
          <w:t xml:space="preserve">https://doi.org/10.1111/ecog.01335</w:t>
        </w:r>
      </w:hyperlink>
    </w:p>
    <w:bookmarkEnd w:id="225"/>
    <w:bookmarkStart w:id="227" w:name="ref-zuidema_recent_2020"/>
    <w:p>
      <w:pPr>
        <w:pStyle w:val="Bibliography"/>
      </w:pPr>
      <w:r>
        <w:t xml:space="preserve">Zuidema, P. A., Heinrich, I., Rahman, M., Vlam, M., Zwartsenberg, S. A., &amp; Sleen, P. (2020). Recent CO</w:t>
      </w:r>
      <w:r>
        <w:t xml:space="preserve"> </w:t>
      </w:r>
      <w:r>
        <w:rPr>
          <w:vertAlign w:val="subscript"/>
        </w:rPr>
        <w:t xml:space="preserve">2</w:t>
      </w:r>
      <w:r>
        <w:t xml:space="preserve"> </w:t>
      </w:r>
      <w:r>
        <w:t xml:space="preserve">rise has modified the sensitivity of tropical tree growth to rainfall and temperature.</w:t>
      </w:r>
      <w:r>
        <w:t xml:space="preserve"> </w:t>
      </w:r>
      <w:r>
        <w:rPr>
          <w:i/>
        </w:rPr>
        <w:t xml:space="preserve">Global Change Biology</w:t>
      </w:r>
      <w:r>
        <w:t xml:space="preserve">,</w:t>
      </w:r>
      <w:r>
        <w:t xml:space="preserve"> </w:t>
      </w:r>
      <w:r>
        <w:rPr>
          <w:i/>
        </w:rPr>
        <w:t xml:space="preserve">26</w:t>
      </w:r>
      <w:r>
        <w:t xml:space="preserve">(7), 4028–4041.</w:t>
      </w:r>
      <w:r>
        <w:t xml:space="preserve"> </w:t>
      </w:r>
      <w:hyperlink r:id="rId226">
        <w:r>
          <w:rPr>
            <w:rStyle w:val="Hyperlink"/>
          </w:rPr>
          <w:t xml:space="preserve">https://doi.org/10.1111/gcb.15092</w:t>
        </w:r>
      </w:hyperlink>
    </w:p>
    <w:bookmarkEnd w:id="227"/>
    <w:bookmarkEnd w:id="228"/>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36" Target="media/rId36.png" /><Relationship Type="http://schemas.openxmlformats.org/officeDocument/2006/relationships/image" Id="rId31" Target="media/rId31.png" /><Relationship Type="http://schemas.openxmlformats.org/officeDocument/2006/relationships/image" Id="rId29" Target="media/rId29.png" /><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92" Target="https://doi.org/10.1002/2016JG003528" TargetMode="External" /><Relationship Type="http://schemas.openxmlformats.org/officeDocument/2006/relationships/hyperlink" Id="rId111" Target="https://doi.org/10.1002/ecm.1423" TargetMode="External" /><Relationship Type="http://schemas.openxmlformats.org/officeDocument/2006/relationships/hyperlink" Id="rId105" Target="https://doi.org/10.1002/ecs2.1454" TargetMode="External" /><Relationship Type="http://schemas.openxmlformats.org/officeDocument/2006/relationships/hyperlink" Id="rId109" Target="https://doi.org/10.1002/ecs2.1889" TargetMode="External" /><Relationship Type="http://schemas.openxmlformats.org/officeDocument/2006/relationships/hyperlink" Id="rId182" Target="https://doi.org/10.1002/ecy.3264" TargetMode="External" /><Relationship Type="http://schemas.openxmlformats.org/officeDocument/2006/relationships/hyperlink" Id="rId135" Target="https://doi.org/10.1002/joc.3711" TargetMode="External" /><Relationship Type="http://schemas.openxmlformats.org/officeDocument/2006/relationships/hyperlink" Id="rId60" Target="https://doi.org/10.1007/978-3-319-61669-8" TargetMode="External" /><Relationship Type="http://schemas.openxmlformats.org/officeDocument/2006/relationships/hyperlink" Id="rId208" Target="https://doi.org/10.1007/978-94-007-1242-3_2" TargetMode="External" /><Relationship Type="http://schemas.openxmlformats.org/officeDocument/2006/relationships/hyperlink" Id="rId93" Target="https://doi.org/10.1007/BF00282374" TargetMode="External" /><Relationship Type="http://schemas.openxmlformats.org/officeDocument/2006/relationships/hyperlink" Id="rId218" Target="https://doi.org/10.1007/s00442-013-2846-x" TargetMode="External" /><Relationship Type="http://schemas.openxmlformats.org/officeDocument/2006/relationships/hyperlink" Id="rId58" Target="https://doi.org/10.1007/s00442-017-3879-3" TargetMode="External" /><Relationship Type="http://schemas.openxmlformats.org/officeDocument/2006/relationships/hyperlink" Id="rId56" Target="https://doi.org/10.1007/s00468-017-1629-0" TargetMode="External" /><Relationship Type="http://schemas.openxmlformats.org/officeDocument/2006/relationships/hyperlink" Id="rId122" Target="https://doi.org/10.1007/s10021-020-00501-y" TargetMode="External" /><Relationship Type="http://schemas.openxmlformats.org/officeDocument/2006/relationships/hyperlink" Id="rId131" Target="https://doi.org/10.1007/s10342-016-0982-7" TargetMode="External" /><Relationship Type="http://schemas.openxmlformats.org/officeDocument/2006/relationships/hyperlink" Id="rId107" Target="https://doi.org/10.1007/s10584-009-9594-2" TargetMode="External" /><Relationship Type="http://schemas.openxmlformats.org/officeDocument/2006/relationships/hyperlink" Id="rId156" Target="https://doi.org/10.1007/s10584-016-1720-3" TargetMode="External" /><Relationship Type="http://schemas.openxmlformats.org/officeDocument/2006/relationships/hyperlink" Id="rId120" Target="https://doi.org/10.1016/S0065-2504(08)60158-0" TargetMode="External" /><Relationship Type="http://schemas.openxmlformats.org/officeDocument/2006/relationships/hyperlink" Id="rId91" Target="https://doi.org/10.1016/S0378-1127(98)00242-4" TargetMode="External" /><Relationship Type="http://schemas.openxmlformats.org/officeDocument/2006/relationships/hyperlink" Id="rId71" Target="https://doi.org/10.1016/j.agrformet.2012.10.010" TargetMode="External" /><Relationship Type="http://schemas.openxmlformats.org/officeDocument/2006/relationships/hyperlink" Id="rId212" Target="https://doi.org/10.1016/j.agrformet.2017.07.015" TargetMode="External" /><Relationship Type="http://schemas.openxmlformats.org/officeDocument/2006/relationships/hyperlink" Id="rId204" Target="https://doi.org/10.1016/j.agrformet.2017.08.007" TargetMode="External" /><Relationship Type="http://schemas.openxmlformats.org/officeDocument/2006/relationships/hyperlink" Id="rId97" Target="https://doi.org/10.1016/j.biocon.2020.108907" TargetMode="External" /><Relationship Type="http://schemas.openxmlformats.org/officeDocument/2006/relationships/hyperlink" Id="rId164" Target="https://doi.org/10.1016/j.cageo.2011.01.013" TargetMode="External" /><Relationship Type="http://schemas.openxmlformats.org/officeDocument/2006/relationships/hyperlink" Id="rId178" Target="https://doi.org/10.1016/j.dendro.2020.125678" TargetMode="External" /><Relationship Type="http://schemas.openxmlformats.org/officeDocument/2006/relationships/hyperlink" Id="rId99" Target="https://doi.org/10.1016/j.foreco.2009.08.009" TargetMode="External" /><Relationship Type="http://schemas.openxmlformats.org/officeDocument/2006/relationships/hyperlink" Id="rId186" Target="https://doi.org/10.1016/j.foreco.2015.08.034" TargetMode="External" /><Relationship Type="http://schemas.openxmlformats.org/officeDocument/2006/relationships/hyperlink" Id="rId113" Target="https://doi.org/10.1016/j.foreco.2020.118717" TargetMode="External" /><Relationship Type="http://schemas.openxmlformats.org/officeDocument/2006/relationships/hyperlink" Id="rId54" Target="https://doi.org/10.1017/qua.2019.33" TargetMode="External" /><Relationship Type="http://schemas.openxmlformats.org/officeDocument/2006/relationships/hyperlink" Id="rId79" Target="https://doi.org/10.1029/2011GB004143" TargetMode="External" /><Relationship Type="http://schemas.openxmlformats.org/officeDocument/2006/relationships/hyperlink" Id="rId141" Target="https://doi.org/10.1029/2018JG004573" TargetMode="External" /><Relationship Type="http://schemas.openxmlformats.org/officeDocument/2006/relationships/hyperlink" Id="rId195" Target="https://doi.org/10.1038/nature12914" TargetMode="External" /><Relationship Type="http://schemas.openxmlformats.org/officeDocument/2006/relationships/hyperlink" Id="rId216" Target="https://doi.org/10.1038/ngeo2313" TargetMode="External" /><Relationship Type="http://schemas.openxmlformats.org/officeDocument/2006/relationships/hyperlink" Id="rId73" Target="https://doi.org/10.1038/nplants.2015.139" TargetMode="External" /><Relationship Type="http://schemas.openxmlformats.org/officeDocument/2006/relationships/hyperlink" Id="rId144" Target="https://doi.org/10.1038/s41467-018-07800-y" TargetMode="External" /><Relationship Type="http://schemas.openxmlformats.org/officeDocument/2006/relationships/hyperlink" Id="rId103" Target="https://doi.org/10.1038/s41467-020-14300-5" TargetMode="External" /><Relationship Type="http://schemas.openxmlformats.org/officeDocument/2006/relationships/hyperlink" Id="rId137" Target="https://doi.org/10.1038/s41597-020-0453-3" TargetMode="External" /><Relationship Type="http://schemas.openxmlformats.org/officeDocument/2006/relationships/hyperlink" Id="rId150" Target="https://doi.org/10.1038/srep46158" TargetMode="External" /><Relationship Type="http://schemas.openxmlformats.org/officeDocument/2006/relationships/hyperlink" Id="rId77" Target="https://doi.org/10.1078/1125-7865-00017" TargetMode="External" /><Relationship Type="http://schemas.openxmlformats.org/officeDocument/2006/relationships/hyperlink" Id="rId200" Target="https://doi.org/10.1088/1748-9326/11/11/114007" TargetMode="External" /><Relationship Type="http://schemas.openxmlformats.org/officeDocument/2006/relationships/hyperlink" Id="rId146" Target="https://doi.org/10.1093/treephys/tpaa091" TargetMode="External" /><Relationship Type="http://schemas.openxmlformats.org/officeDocument/2006/relationships/hyperlink" Id="rId66" Target="https://doi.org/10.1111/1365-2435.12470" TargetMode="External" /><Relationship Type="http://schemas.openxmlformats.org/officeDocument/2006/relationships/hyperlink" Id="rId190" Target="https://doi.org/10.1111/1365-2435.12775" TargetMode="External" /><Relationship Type="http://schemas.openxmlformats.org/officeDocument/2006/relationships/hyperlink" Id="rId101" Target="https://doi.org/10.1111/1365-2745.13569" TargetMode="External" /><Relationship Type="http://schemas.openxmlformats.org/officeDocument/2006/relationships/hyperlink" Id="rId214" Target="https://doi.org/10.1111/2041-210X.12590" TargetMode="External" /><Relationship Type="http://schemas.openxmlformats.org/officeDocument/2006/relationships/hyperlink" Id="rId180" Target="https://doi.org/10.1111/2041-210X.12753" TargetMode="External" /><Relationship Type="http://schemas.openxmlformats.org/officeDocument/2006/relationships/hyperlink" Id="rId224" Target="https://doi.org/10.1111/ecog.01335" TargetMode="External" /><Relationship Type="http://schemas.openxmlformats.org/officeDocument/2006/relationships/hyperlink" Id="rId89" Target="https://doi.org/10.1111/ele.12650" TargetMode="External" /><Relationship Type="http://schemas.openxmlformats.org/officeDocument/2006/relationships/hyperlink" Id="rId171" Target="https://doi.org/10.1111/ele.13575" TargetMode="External" /><Relationship Type="http://schemas.openxmlformats.org/officeDocument/2006/relationships/hyperlink" Id="rId167" Target="https://doi.org/10.1111/gcb.12599" TargetMode="External" /><Relationship Type="http://schemas.openxmlformats.org/officeDocument/2006/relationships/hyperlink" Id="rId64" Target="https://doi.org/10.1111/gcb.12712" TargetMode="External" /><Relationship Type="http://schemas.openxmlformats.org/officeDocument/2006/relationships/hyperlink" Id="rId173" Target="https://doi.org/10.1111/gcb.12826" TargetMode="External" /><Relationship Type="http://schemas.openxmlformats.org/officeDocument/2006/relationships/hyperlink" Id="rId129" Target="https://doi.org/10.1111/gcb.12955" TargetMode="External" /><Relationship Type="http://schemas.openxmlformats.org/officeDocument/2006/relationships/hyperlink" Id="rId115" Target="https://doi.org/10.1111/gcb.13208" TargetMode="External" /><Relationship Type="http://schemas.openxmlformats.org/officeDocument/2006/relationships/hyperlink" Id="rId87" Target="https://doi.org/10.1111/gcb.13366" TargetMode="External" /><Relationship Type="http://schemas.openxmlformats.org/officeDocument/2006/relationships/hyperlink" Id="rId81" Target="https://doi.org/10.1111/gcb.13410" TargetMode="External" /><Relationship Type="http://schemas.openxmlformats.org/officeDocument/2006/relationships/hyperlink" Id="rId85" Target="https://doi.org/10.1111/gcb.13535" TargetMode="External" /><Relationship Type="http://schemas.openxmlformats.org/officeDocument/2006/relationships/hyperlink" Id="rId206" Target="https://doi.org/10.1111/gcb.14120" TargetMode="External" /><Relationship Type="http://schemas.openxmlformats.org/officeDocument/2006/relationships/hyperlink" Id="rId154" Target="https://doi.org/10.1111/gcb.14273" TargetMode="External" /><Relationship Type="http://schemas.openxmlformats.org/officeDocument/2006/relationships/hyperlink" Id="rId133" Target="https://doi.org/10.1111/gcb.14561" TargetMode="External" /><Relationship Type="http://schemas.openxmlformats.org/officeDocument/2006/relationships/hyperlink" Id="rId226" Target="https://doi.org/10.1111/gcb.15092" TargetMode="External" /><Relationship Type="http://schemas.openxmlformats.org/officeDocument/2006/relationships/hyperlink" Id="rId169" Target="https://doi.org/10.1111/j.1365-2486.2010.02222.x" TargetMode="External" /><Relationship Type="http://schemas.openxmlformats.org/officeDocument/2006/relationships/hyperlink" Id="rId184" Target="https://doi.org/10.1111/j.1469-8137.2007.02235.x" TargetMode="External" /><Relationship Type="http://schemas.openxmlformats.org/officeDocument/2006/relationships/hyperlink" Id="rId152" Target="https://doi.org/10.1111/jbi.12462" TargetMode="External" /><Relationship Type="http://schemas.openxmlformats.org/officeDocument/2006/relationships/hyperlink" Id="rId202" Target="https://doi.org/10.1111/jvs.12025" TargetMode="External" /><Relationship Type="http://schemas.openxmlformats.org/officeDocument/2006/relationships/hyperlink" Id="rId162" Target="https://doi.org/10.1111/nph.14633" TargetMode="External" /><Relationship Type="http://schemas.openxmlformats.org/officeDocument/2006/relationships/hyperlink" Id="rId148" Target="https://doi.org/10.1111/nph.15668" TargetMode="External" /><Relationship Type="http://schemas.openxmlformats.org/officeDocument/2006/relationships/hyperlink" Id="rId139" Target="https://doi.org/10.1111/nph.15906" TargetMode="External" /><Relationship Type="http://schemas.openxmlformats.org/officeDocument/2006/relationships/hyperlink" Id="rId220" Target="https://doi.org/10.1111/nph.16866" TargetMode="External" /><Relationship Type="http://schemas.openxmlformats.org/officeDocument/2006/relationships/hyperlink" Id="rId160" Target="https://doi.org/10.1111/nph.16996" TargetMode="External" /><Relationship Type="http://schemas.openxmlformats.org/officeDocument/2006/relationships/hyperlink" Id="rId68" Target="https://doi.org/10.1126/sciadv.aat4313" TargetMode="External" /><Relationship Type="http://schemas.openxmlformats.org/officeDocument/2006/relationships/hyperlink" Id="rId198" Target="https://doi.org/10.1126/science.aaw7578" TargetMode="External" /><Relationship Type="http://schemas.openxmlformats.org/officeDocument/2006/relationships/hyperlink" Id="rId158" Target="https://doi.org/10.1126/science.aaz9463" TargetMode="External" /><Relationship Type="http://schemas.openxmlformats.org/officeDocument/2006/relationships/hyperlink" Id="rId83" Target="https://doi.org/10.1139/cjfr-2018-0206" TargetMode="External" /><Relationship Type="http://schemas.openxmlformats.org/officeDocument/2006/relationships/hyperlink" Id="rId117" Target="https://doi.org/10.1175/JCLI3800.1" TargetMode="External" /><Relationship Type="http://schemas.openxmlformats.org/officeDocument/2006/relationships/hyperlink" Id="rId95" Target="https://doi.org/10.1177/095968369700700314" TargetMode="External" /><Relationship Type="http://schemas.openxmlformats.org/officeDocument/2006/relationships/hyperlink" Id="rId188" Target="https://doi.org/10.1186/s40663-018-0133-3" TargetMode="External" /><Relationship Type="http://schemas.openxmlformats.org/officeDocument/2006/relationships/hyperlink" Id="rId176" Target="https://doi.org/10.1186/s40663-018-0139-x" TargetMode="External" /><Relationship Type="http://schemas.openxmlformats.org/officeDocument/2006/relationships/hyperlink" Id="rId222" Target="https://doi.org/10.1191/095968399667128516" TargetMode="External" /><Relationship Type="http://schemas.openxmlformats.org/officeDocument/2006/relationships/hyperlink" Id="rId127" Target="https://doi.org/10.2307/1937545" TargetMode="External" /><Relationship Type="http://schemas.openxmlformats.org/officeDocument/2006/relationships/hyperlink" Id="rId75" Target="https://doi.org/10.3959/2008-6.1" TargetMode="External" /><Relationship Type="http://schemas.openxmlformats.org/officeDocument/2006/relationships/hyperlink" Id="rId210" Target="https://doi.org/10.5194/cp-9-1481-2013" TargetMode="External" /><Relationship Type="http://schemas.openxmlformats.org/officeDocument/2006/relationships/hyperlink" Id="rId62" Target="https://doi.org/10.5281/ZENODO.3958215" TargetMode="External" /><Relationship Type="http://schemas.openxmlformats.org/officeDocument/2006/relationships/hyperlink" Id="rId124" Target="https://doi.org/10.5281/ZENODO.4070038" TargetMode="External" /><Relationship Type="http://schemas.openxmlformats.org/officeDocument/2006/relationships/hyperlink" Id="rId24"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92" Target="https://doi.org/10.1002/2016JG003528" TargetMode="External" /><Relationship Type="http://schemas.openxmlformats.org/officeDocument/2006/relationships/hyperlink" Id="rId111" Target="https://doi.org/10.1002/ecm.1423" TargetMode="External" /><Relationship Type="http://schemas.openxmlformats.org/officeDocument/2006/relationships/hyperlink" Id="rId105" Target="https://doi.org/10.1002/ecs2.1454" TargetMode="External" /><Relationship Type="http://schemas.openxmlformats.org/officeDocument/2006/relationships/hyperlink" Id="rId109" Target="https://doi.org/10.1002/ecs2.1889" TargetMode="External" /><Relationship Type="http://schemas.openxmlformats.org/officeDocument/2006/relationships/hyperlink" Id="rId182" Target="https://doi.org/10.1002/ecy.3264" TargetMode="External" /><Relationship Type="http://schemas.openxmlformats.org/officeDocument/2006/relationships/hyperlink" Id="rId135" Target="https://doi.org/10.1002/joc.3711" TargetMode="External" /><Relationship Type="http://schemas.openxmlformats.org/officeDocument/2006/relationships/hyperlink" Id="rId60" Target="https://doi.org/10.1007/978-3-319-61669-8" TargetMode="External" /><Relationship Type="http://schemas.openxmlformats.org/officeDocument/2006/relationships/hyperlink" Id="rId208" Target="https://doi.org/10.1007/978-94-007-1242-3_2" TargetMode="External" /><Relationship Type="http://schemas.openxmlformats.org/officeDocument/2006/relationships/hyperlink" Id="rId93" Target="https://doi.org/10.1007/BF00282374" TargetMode="External" /><Relationship Type="http://schemas.openxmlformats.org/officeDocument/2006/relationships/hyperlink" Id="rId218" Target="https://doi.org/10.1007/s00442-013-2846-x" TargetMode="External" /><Relationship Type="http://schemas.openxmlformats.org/officeDocument/2006/relationships/hyperlink" Id="rId58" Target="https://doi.org/10.1007/s00442-017-3879-3" TargetMode="External" /><Relationship Type="http://schemas.openxmlformats.org/officeDocument/2006/relationships/hyperlink" Id="rId56" Target="https://doi.org/10.1007/s00468-017-1629-0" TargetMode="External" /><Relationship Type="http://schemas.openxmlformats.org/officeDocument/2006/relationships/hyperlink" Id="rId122" Target="https://doi.org/10.1007/s10021-020-00501-y" TargetMode="External" /><Relationship Type="http://schemas.openxmlformats.org/officeDocument/2006/relationships/hyperlink" Id="rId131" Target="https://doi.org/10.1007/s10342-016-0982-7" TargetMode="External" /><Relationship Type="http://schemas.openxmlformats.org/officeDocument/2006/relationships/hyperlink" Id="rId107" Target="https://doi.org/10.1007/s10584-009-9594-2" TargetMode="External" /><Relationship Type="http://schemas.openxmlformats.org/officeDocument/2006/relationships/hyperlink" Id="rId156" Target="https://doi.org/10.1007/s10584-016-1720-3" TargetMode="External" /><Relationship Type="http://schemas.openxmlformats.org/officeDocument/2006/relationships/hyperlink" Id="rId120" Target="https://doi.org/10.1016/S0065-2504(08)60158-0" TargetMode="External" /><Relationship Type="http://schemas.openxmlformats.org/officeDocument/2006/relationships/hyperlink" Id="rId91" Target="https://doi.org/10.1016/S0378-1127(98)00242-4" TargetMode="External" /><Relationship Type="http://schemas.openxmlformats.org/officeDocument/2006/relationships/hyperlink" Id="rId71" Target="https://doi.org/10.1016/j.agrformet.2012.10.010" TargetMode="External" /><Relationship Type="http://schemas.openxmlformats.org/officeDocument/2006/relationships/hyperlink" Id="rId212" Target="https://doi.org/10.1016/j.agrformet.2017.07.015" TargetMode="External" /><Relationship Type="http://schemas.openxmlformats.org/officeDocument/2006/relationships/hyperlink" Id="rId204" Target="https://doi.org/10.1016/j.agrformet.2017.08.007" TargetMode="External" /><Relationship Type="http://schemas.openxmlformats.org/officeDocument/2006/relationships/hyperlink" Id="rId97" Target="https://doi.org/10.1016/j.biocon.2020.108907" TargetMode="External" /><Relationship Type="http://schemas.openxmlformats.org/officeDocument/2006/relationships/hyperlink" Id="rId164" Target="https://doi.org/10.1016/j.cageo.2011.01.013" TargetMode="External" /><Relationship Type="http://schemas.openxmlformats.org/officeDocument/2006/relationships/hyperlink" Id="rId178" Target="https://doi.org/10.1016/j.dendro.2020.125678" TargetMode="External" /><Relationship Type="http://schemas.openxmlformats.org/officeDocument/2006/relationships/hyperlink" Id="rId99" Target="https://doi.org/10.1016/j.foreco.2009.08.009" TargetMode="External" /><Relationship Type="http://schemas.openxmlformats.org/officeDocument/2006/relationships/hyperlink" Id="rId186" Target="https://doi.org/10.1016/j.foreco.2015.08.034" TargetMode="External" /><Relationship Type="http://schemas.openxmlformats.org/officeDocument/2006/relationships/hyperlink" Id="rId113" Target="https://doi.org/10.1016/j.foreco.2020.118717" TargetMode="External" /><Relationship Type="http://schemas.openxmlformats.org/officeDocument/2006/relationships/hyperlink" Id="rId54" Target="https://doi.org/10.1017/qua.2019.33" TargetMode="External" /><Relationship Type="http://schemas.openxmlformats.org/officeDocument/2006/relationships/hyperlink" Id="rId79" Target="https://doi.org/10.1029/2011GB004143" TargetMode="External" /><Relationship Type="http://schemas.openxmlformats.org/officeDocument/2006/relationships/hyperlink" Id="rId141" Target="https://doi.org/10.1029/2018JG004573" TargetMode="External" /><Relationship Type="http://schemas.openxmlformats.org/officeDocument/2006/relationships/hyperlink" Id="rId195" Target="https://doi.org/10.1038/nature12914" TargetMode="External" /><Relationship Type="http://schemas.openxmlformats.org/officeDocument/2006/relationships/hyperlink" Id="rId216" Target="https://doi.org/10.1038/ngeo2313" TargetMode="External" /><Relationship Type="http://schemas.openxmlformats.org/officeDocument/2006/relationships/hyperlink" Id="rId73" Target="https://doi.org/10.1038/nplants.2015.139" TargetMode="External" /><Relationship Type="http://schemas.openxmlformats.org/officeDocument/2006/relationships/hyperlink" Id="rId144" Target="https://doi.org/10.1038/s41467-018-07800-y" TargetMode="External" /><Relationship Type="http://schemas.openxmlformats.org/officeDocument/2006/relationships/hyperlink" Id="rId103" Target="https://doi.org/10.1038/s41467-020-14300-5" TargetMode="External" /><Relationship Type="http://schemas.openxmlformats.org/officeDocument/2006/relationships/hyperlink" Id="rId137" Target="https://doi.org/10.1038/s41597-020-0453-3" TargetMode="External" /><Relationship Type="http://schemas.openxmlformats.org/officeDocument/2006/relationships/hyperlink" Id="rId150" Target="https://doi.org/10.1038/srep46158" TargetMode="External" /><Relationship Type="http://schemas.openxmlformats.org/officeDocument/2006/relationships/hyperlink" Id="rId77" Target="https://doi.org/10.1078/1125-7865-00017" TargetMode="External" /><Relationship Type="http://schemas.openxmlformats.org/officeDocument/2006/relationships/hyperlink" Id="rId200" Target="https://doi.org/10.1088/1748-9326/11/11/114007" TargetMode="External" /><Relationship Type="http://schemas.openxmlformats.org/officeDocument/2006/relationships/hyperlink" Id="rId146" Target="https://doi.org/10.1093/treephys/tpaa091" TargetMode="External" /><Relationship Type="http://schemas.openxmlformats.org/officeDocument/2006/relationships/hyperlink" Id="rId66" Target="https://doi.org/10.1111/1365-2435.12470" TargetMode="External" /><Relationship Type="http://schemas.openxmlformats.org/officeDocument/2006/relationships/hyperlink" Id="rId190" Target="https://doi.org/10.1111/1365-2435.12775" TargetMode="External" /><Relationship Type="http://schemas.openxmlformats.org/officeDocument/2006/relationships/hyperlink" Id="rId101" Target="https://doi.org/10.1111/1365-2745.13569" TargetMode="External" /><Relationship Type="http://schemas.openxmlformats.org/officeDocument/2006/relationships/hyperlink" Id="rId214" Target="https://doi.org/10.1111/2041-210X.12590" TargetMode="External" /><Relationship Type="http://schemas.openxmlformats.org/officeDocument/2006/relationships/hyperlink" Id="rId180" Target="https://doi.org/10.1111/2041-210X.12753" TargetMode="External" /><Relationship Type="http://schemas.openxmlformats.org/officeDocument/2006/relationships/hyperlink" Id="rId224" Target="https://doi.org/10.1111/ecog.01335" TargetMode="External" /><Relationship Type="http://schemas.openxmlformats.org/officeDocument/2006/relationships/hyperlink" Id="rId89" Target="https://doi.org/10.1111/ele.12650" TargetMode="External" /><Relationship Type="http://schemas.openxmlformats.org/officeDocument/2006/relationships/hyperlink" Id="rId171" Target="https://doi.org/10.1111/ele.13575" TargetMode="External" /><Relationship Type="http://schemas.openxmlformats.org/officeDocument/2006/relationships/hyperlink" Id="rId167" Target="https://doi.org/10.1111/gcb.12599" TargetMode="External" /><Relationship Type="http://schemas.openxmlformats.org/officeDocument/2006/relationships/hyperlink" Id="rId64" Target="https://doi.org/10.1111/gcb.12712" TargetMode="External" /><Relationship Type="http://schemas.openxmlformats.org/officeDocument/2006/relationships/hyperlink" Id="rId173" Target="https://doi.org/10.1111/gcb.12826" TargetMode="External" /><Relationship Type="http://schemas.openxmlformats.org/officeDocument/2006/relationships/hyperlink" Id="rId129" Target="https://doi.org/10.1111/gcb.12955" TargetMode="External" /><Relationship Type="http://schemas.openxmlformats.org/officeDocument/2006/relationships/hyperlink" Id="rId115" Target="https://doi.org/10.1111/gcb.13208" TargetMode="External" /><Relationship Type="http://schemas.openxmlformats.org/officeDocument/2006/relationships/hyperlink" Id="rId87" Target="https://doi.org/10.1111/gcb.13366" TargetMode="External" /><Relationship Type="http://schemas.openxmlformats.org/officeDocument/2006/relationships/hyperlink" Id="rId81" Target="https://doi.org/10.1111/gcb.13410" TargetMode="External" /><Relationship Type="http://schemas.openxmlformats.org/officeDocument/2006/relationships/hyperlink" Id="rId85" Target="https://doi.org/10.1111/gcb.13535" TargetMode="External" /><Relationship Type="http://schemas.openxmlformats.org/officeDocument/2006/relationships/hyperlink" Id="rId206" Target="https://doi.org/10.1111/gcb.14120" TargetMode="External" /><Relationship Type="http://schemas.openxmlformats.org/officeDocument/2006/relationships/hyperlink" Id="rId154" Target="https://doi.org/10.1111/gcb.14273" TargetMode="External" /><Relationship Type="http://schemas.openxmlformats.org/officeDocument/2006/relationships/hyperlink" Id="rId133" Target="https://doi.org/10.1111/gcb.14561" TargetMode="External" /><Relationship Type="http://schemas.openxmlformats.org/officeDocument/2006/relationships/hyperlink" Id="rId226" Target="https://doi.org/10.1111/gcb.15092" TargetMode="External" /><Relationship Type="http://schemas.openxmlformats.org/officeDocument/2006/relationships/hyperlink" Id="rId169" Target="https://doi.org/10.1111/j.1365-2486.2010.02222.x" TargetMode="External" /><Relationship Type="http://schemas.openxmlformats.org/officeDocument/2006/relationships/hyperlink" Id="rId184" Target="https://doi.org/10.1111/j.1469-8137.2007.02235.x" TargetMode="External" /><Relationship Type="http://schemas.openxmlformats.org/officeDocument/2006/relationships/hyperlink" Id="rId152" Target="https://doi.org/10.1111/jbi.12462" TargetMode="External" /><Relationship Type="http://schemas.openxmlformats.org/officeDocument/2006/relationships/hyperlink" Id="rId202" Target="https://doi.org/10.1111/jvs.12025" TargetMode="External" /><Relationship Type="http://schemas.openxmlformats.org/officeDocument/2006/relationships/hyperlink" Id="rId162" Target="https://doi.org/10.1111/nph.14633" TargetMode="External" /><Relationship Type="http://schemas.openxmlformats.org/officeDocument/2006/relationships/hyperlink" Id="rId148" Target="https://doi.org/10.1111/nph.15668" TargetMode="External" /><Relationship Type="http://schemas.openxmlformats.org/officeDocument/2006/relationships/hyperlink" Id="rId139" Target="https://doi.org/10.1111/nph.15906" TargetMode="External" /><Relationship Type="http://schemas.openxmlformats.org/officeDocument/2006/relationships/hyperlink" Id="rId220" Target="https://doi.org/10.1111/nph.16866" TargetMode="External" /><Relationship Type="http://schemas.openxmlformats.org/officeDocument/2006/relationships/hyperlink" Id="rId160" Target="https://doi.org/10.1111/nph.16996" TargetMode="External" /><Relationship Type="http://schemas.openxmlformats.org/officeDocument/2006/relationships/hyperlink" Id="rId68" Target="https://doi.org/10.1126/sciadv.aat4313" TargetMode="External" /><Relationship Type="http://schemas.openxmlformats.org/officeDocument/2006/relationships/hyperlink" Id="rId198" Target="https://doi.org/10.1126/science.aaw7578" TargetMode="External" /><Relationship Type="http://schemas.openxmlformats.org/officeDocument/2006/relationships/hyperlink" Id="rId158" Target="https://doi.org/10.1126/science.aaz9463" TargetMode="External" /><Relationship Type="http://schemas.openxmlformats.org/officeDocument/2006/relationships/hyperlink" Id="rId83" Target="https://doi.org/10.1139/cjfr-2018-0206" TargetMode="External" /><Relationship Type="http://schemas.openxmlformats.org/officeDocument/2006/relationships/hyperlink" Id="rId117" Target="https://doi.org/10.1175/JCLI3800.1" TargetMode="External" /><Relationship Type="http://schemas.openxmlformats.org/officeDocument/2006/relationships/hyperlink" Id="rId95" Target="https://doi.org/10.1177/095968369700700314" TargetMode="External" /><Relationship Type="http://schemas.openxmlformats.org/officeDocument/2006/relationships/hyperlink" Id="rId188" Target="https://doi.org/10.1186/s40663-018-0133-3" TargetMode="External" /><Relationship Type="http://schemas.openxmlformats.org/officeDocument/2006/relationships/hyperlink" Id="rId176" Target="https://doi.org/10.1186/s40663-018-0139-x" TargetMode="External" /><Relationship Type="http://schemas.openxmlformats.org/officeDocument/2006/relationships/hyperlink" Id="rId222" Target="https://doi.org/10.1191/095968399667128516" TargetMode="External" /><Relationship Type="http://schemas.openxmlformats.org/officeDocument/2006/relationships/hyperlink" Id="rId127" Target="https://doi.org/10.2307/1937545" TargetMode="External" /><Relationship Type="http://schemas.openxmlformats.org/officeDocument/2006/relationships/hyperlink" Id="rId75" Target="https://doi.org/10.3959/2008-6.1" TargetMode="External" /><Relationship Type="http://schemas.openxmlformats.org/officeDocument/2006/relationships/hyperlink" Id="rId210" Target="https://doi.org/10.5194/cp-9-1481-2013" TargetMode="External" /><Relationship Type="http://schemas.openxmlformats.org/officeDocument/2006/relationships/hyperlink" Id="rId62" Target="https://doi.org/10.5281/ZENODO.3958215" TargetMode="External" /><Relationship Type="http://schemas.openxmlformats.org/officeDocument/2006/relationships/hyperlink" Id="rId124" Target="https://doi.org/10.5281/ZENODO.4070038" TargetMode="External" /><Relationship Type="http://schemas.openxmlformats.org/officeDocument/2006/relationships/hyperlink" Id="rId24"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2021-02-04T13:35:15Z</dcterms:created>
  <dcterms:modified xsi:type="dcterms:W3CDTF">2021-02-04T13:35:15Z</dcterms:modified>
</cp:coreProperties>
</file>